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AADA9">
      <w:pPr>
        <w:jc w:val="left"/>
        <w:rPr>
          <w:rFonts w:ascii="宋体" w:hAnsi="宋体"/>
          <w:b w:val="0"/>
        </w:rPr>
      </w:pPr>
    </w:p>
    <w:p w14:paraId="7BD4D74A">
      <w:pPr>
        <w:jc w:val="center"/>
        <w:rPr>
          <w:b w:val="0"/>
          <w:sz w:val="32"/>
          <w:szCs w:val="32"/>
        </w:rPr>
      </w:pPr>
      <w:r>
        <w:rPr>
          <w:rFonts w:hint="eastAsia"/>
          <w:sz w:val="32"/>
          <w:szCs w:val="32"/>
        </w:rPr>
        <w:t>山证</w:t>
      </w:r>
      <w:r>
        <w:rPr>
          <w:rFonts w:hint="eastAsia"/>
          <w:sz w:val="32"/>
          <w:szCs w:val="32"/>
          <w:lang w:eastAsia="zh-CN"/>
        </w:rPr>
        <w:t>（</w:t>
      </w:r>
      <w:r>
        <w:rPr>
          <w:rFonts w:hint="eastAsia"/>
          <w:sz w:val="32"/>
          <w:szCs w:val="32"/>
          <w:lang w:val="en-US" w:eastAsia="zh-CN"/>
        </w:rPr>
        <w:t>上海）资产管理</w:t>
      </w:r>
      <w:r>
        <w:rPr>
          <w:rFonts w:hint="eastAsia"/>
          <w:sz w:val="32"/>
          <w:szCs w:val="32"/>
        </w:rPr>
        <w:t>有限公司</w:t>
      </w:r>
    </w:p>
    <w:p w14:paraId="21A4342D">
      <w:pPr>
        <w:jc w:val="center"/>
        <w:rPr>
          <w:b w:val="0"/>
          <w:sz w:val="32"/>
          <w:szCs w:val="32"/>
        </w:rPr>
      </w:pPr>
      <w:r>
        <w:rPr>
          <w:rFonts w:hint="eastAsia"/>
          <w:sz w:val="32"/>
          <w:szCs w:val="32"/>
        </w:rPr>
        <w:t>普通投资者转专业投资者知识测试题</w:t>
      </w:r>
    </w:p>
    <w:p w14:paraId="7EEC7E9B">
      <w:pPr>
        <w:tabs>
          <w:tab w:val="center" w:pos="4818"/>
          <w:tab w:val="left" w:pos="8624"/>
        </w:tabs>
        <w:jc w:val="left"/>
        <w:rPr>
          <w:rFonts w:hint="eastAsia" w:ascii="黑体" w:hAnsi="黑体" w:eastAsia="黑体" w:cs="Calibri"/>
          <w:kern w:val="0"/>
          <w:lang w:eastAsia="zh-CN"/>
        </w:rPr>
      </w:pPr>
      <w:bookmarkStart w:id="0" w:name="_GoBack"/>
      <w:bookmarkEnd w:id="0"/>
      <w:r>
        <w:rPr>
          <w:rFonts w:hint="eastAsia" w:ascii="黑体" w:hAnsi="黑体" w:eastAsia="黑体" w:cs="Calibri"/>
          <w:kern w:val="0"/>
          <w:lang w:eastAsia="zh-CN"/>
        </w:rPr>
        <w:tab/>
      </w:r>
      <w:r>
        <w:rPr>
          <w:rFonts w:hint="eastAsia" w:ascii="黑体" w:hAnsi="黑体" w:eastAsia="黑体" w:cs="Calibri"/>
          <w:kern w:val="0"/>
        </w:rPr>
        <w:t>（共20题,每题5分,共100分）</w:t>
      </w:r>
      <w:r>
        <w:rPr>
          <w:rFonts w:hint="eastAsia" w:ascii="黑体" w:hAnsi="黑体" w:eastAsia="黑体" w:cs="Calibri"/>
          <w:kern w:val="0"/>
          <w:lang w:eastAsia="zh-CN"/>
        </w:rPr>
        <w:tab/>
      </w:r>
    </w:p>
    <w:p w14:paraId="25F06031">
      <w:pPr>
        <w:tabs>
          <w:tab w:val="center" w:pos="4818"/>
          <w:tab w:val="left" w:pos="8624"/>
        </w:tabs>
        <w:jc w:val="left"/>
        <w:rPr>
          <w:rFonts w:cs="宋体" w:asciiTheme="minorEastAsia" w:hAnsiTheme="minorEastAsia"/>
          <w:color w:val="000000"/>
          <w:kern w:val="0"/>
        </w:rPr>
      </w:pPr>
      <w:r>
        <w:rPr>
          <w:rFonts w:hint="eastAsia" w:cs="宋体" w:asciiTheme="minorEastAsia" w:hAnsiTheme="minorEastAsia"/>
          <w:color w:val="000000"/>
          <w:kern w:val="0"/>
        </w:rPr>
        <w:t>1、</w:t>
      </w:r>
      <w:r>
        <w:rPr>
          <w:rFonts w:cs="宋体" w:asciiTheme="minorEastAsia" w:hAnsiTheme="minorEastAsia"/>
          <w:color w:val="000000"/>
          <w:kern w:val="0"/>
        </w:rPr>
        <w:t>普通投资者在下列哪个方面不享有特别保护（</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EC222D9">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A. 收益保证</w:t>
      </w:r>
    </w:p>
    <w:p w14:paraId="656057F0">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信息告知</w:t>
      </w:r>
    </w:p>
    <w:p w14:paraId="291EFA24">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风险警示</w:t>
      </w:r>
    </w:p>
    <w:p w14:paraId="60B5B69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适当性匹配</w:t>
      </w:r>
    </w:p>
    <w:p w14:paraId="2A3149AB">
      <w:pPr>
        <w:widowControl/>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2、</w:t>
      </w:r>
      <w:r>
        <w:rPr>
          <w:rFonts w:cs="宋体" w:asciiTheme="minorEastAsia" w:hAnsiTheme="minorEastAsia"/>
          <w:color w:val="000000"/>
          <w:kern w:val="0"/>
        </w:rPr>
        <w:t>以下不属于风险揭示书必须充分揭示的内容的是（</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6F922D0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A. 信用风险</w:t>
      </w:r>
    </w:p>
    <w:p w14:paraId="404728F7">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市场风险</w:t>
      </w:r>
    </w:p>
    <w:p w14:paraId="5BE38F3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预期收益</w:t>
      </w:r>
    </w:p>
    <w:p w14:paraId="42A68D0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流动性风险</w:t>
      </w:r>
    </w:p>
    <w:p w14:paraId="04FEB4EE">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3、</w:t>
      </w:r>
      <w:r>
        <w:rPr>
          <w:rFonts w:cs="宋体" w:asciiTheme="minorEastAsia" w:hAnsiTheme="minorEastAsia"/>
          <w:color w:val="000000"/>
          <w:kern w:val="0"/>
        </w:rPr>
        <w:t>关于创业板与中小板的差异，下列说法正确的是（</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639FAF5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创业板与中小板差别不大，主要是企业规模小一点</w:t>
      </w:r>
    </w:p>
    <w:p w14:paraId="437ECC5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与中小企业板相比较，创业板市场风险相对较低</w:t>
      </w:r>
    </w:p>
    <w:p w14:paraId="21EB9B94">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两个板块在制度设计上有明显差别</w:t>
      </w:r>
    </w:p>
    <w:p w14:paraId="15BE2F5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创业板上市公司都是高成长性的公司，更容易获得高收益</w:t>
      </w:r>
    </w:p>
    <w:p w14:paraId="0FFCD516">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4、</w:t>
      </w:r>
      <w:r>
        <w:rPr>
          <w:rFonts w:cs="宋体" w:asciiTheme="minorEastAsia" w:hAnsiTheme="minorEastAsia"/>
          <w:color w:val="000000"/>
          <w:kern w:val="0"/>
        </w:rPr>
        <w:t>交易履约保障比例是指（</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73835EE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单笔交易或合并管理的多笔交易的标的证券市值与购回交易成交金额的比值</w:t>
      </w:r>
    </w:p>
    <w:p w14:paraId="053ADF07">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单笔交易或合并管理的多笔交易的标的证券市值与初始交易成交金额的比值</w:t>
      </w:r>
    </w:p>
    <w:p w14:paraId="1D1FBD5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购回交易成交额与单笔交易或合并管理的多笔交易的标的证券市值的比值</w:t>
      </w:r>
    </w:p>
    <w:p w14:paraId="6055FB4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初始交易成交额与单笔交易或合并管理的多笔交易的标的证券市值的比值</w:t>
      </w:r>
    </w:p>
    <w:p w14:paraId="70BD69BA">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5、</w:t>
      </w:r>
      <w:r>
        <w:rPr>
          <w:rFonts w:cs="宋体" w:asciiTheme="minorEastAsia" w:hAnsiTheme="minorEastAsia"/>
          <w:color w:val="000000"/>
          <w:kern w:val="0"/>
        </w:rPr>
        <w:t>股票质押式回购交易期限最长不超过（</w:t>
      </w:r>
      <w:r>
        <w:rPr>
          <w:rFonts w:hint="eastAsia" w:cs="宋体" w:asciiTheme="minorEastAsia" w:hAnsiTheme="minorEastAsia"/>
          <w:color w:val="000000"/>
          <w:kern w:val="0"/>
        </w:rPr>
        <w:t xml:space="preserve">  ）年</w:t>
      </w:r>
      <w:r>
        <w:rPr>
          <w:rFonts w:cs="宋体" w:asciiTheme="minorEastAsia" w:hAnsiTheme="minorEastAsia"/>
          <w:color w:val="000000"/>
          <w:kern w:val="0"/>
        </w:rPr>
        <w:t>：</w:t>
      </w:r>
    </w:p>
    <w:p w14:paraId="483993E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半年</w:t>
      </w:r>
    </w:p>
    <w:p w14:paraId="4C50D49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1年</w:t>
      </w:r>
    </w:p>
    <w:p w14:paraId="723D451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2年</w:t>
      </w:r>
    </w:p>
    <w:p w14:paraId="43722B6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3年</w:t>
      </w:r>
    </w:p>
    <w:p w14:paraId="620921E6">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6、</w:t>
      </w:r>
      <w:r>
        <w:rPr>
          <w:rFonts w:cs="宋体" w:asciiTheme="minorEastAsia" w:hAnsiTheme="minorEastAsia"/>
          <w:color w:val="000000"/>
          <w:kern w:val="0"/>
        </w:rPr>
        <w:t>在分级基金的不定期折算中，当母基金净值触发上折阀值侯，B份额变成</w:t>
      </w:r>
      <w:r>
        <w:rPr>
          <w:rFonts w:hint="eastAsia" w:cs="宋体" w:asciiTheme="minorEastAsia" w:hAnsiTheme="minorEastAsia"/>
          <w:color w:val="000000"/>
          <w:kern w:val="0"/>
        </w:rPr>
        <w:t>1份新的B份额，多余部分以</w:t>
      </w:r>
      <w:r>
        <w:rPr>
          <w:rFonts w:cs="宋体" w:asciiTheme="minorEastAsia" w:hAnsiTheme="minorEastAsia"/>
          <w:color w:val="000000"/>
          <w:kern w:val="0"/>
        </w:rPr>
        <w:t>（</w:t>
      </w:r>
      <w:r>
        <w:rPr>
          <w:rFonts w:hint="eastAsia" w:cs="宋体" w:asciiTheme="minorEastAsia" w:hAnsiTheme="minorEastAsia"/>
          <w:color w:val="000000"/>
          <w:kern w:val="0"/>
        </w:rPr>
        <w:t xml:space="preserve">  ）的形式给付到投资者</w:t>
      </w:r>
      <w:r>
        <w:rPr>
          <w:rFonts w:cs="宋体" w:asciiTheme="minorEastAsia" w:hAnsiTheme="minorEastAsia"/>
          <w:color w:val="000000"/>
          <w:kern w:val="0"/>
        </w:rPr>
        <w:t>：</w:t>
      </w:r>
    </w:p>
    <w:p w14:paraId="070CD339">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A份额</w:t>
      </w:r>
    </w:p>
    <w:p w14:paraId="6D1E69B4">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B份额</w:t>
      </w:r>
    </w:p>
    <w:p w14:paraId="69D2333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母基金</w:t>
      </w:r>
    </w:p>
    <w:p w14:paraId="56E36817">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现金</w:t>
      </w:r>
    </w:p>
    <w:p w14:paraId="5CBFF217">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7、</w:t>
      </w:r>
      <w:r>
        <w:rPr>
          <w:rFonts w:cs="宋体" w:asciiTheme="minorEastAsia" w:hAnsiTheme="minorEastAsia"/>
          <w:color w:val="000000"/>
          <w:kern w:val="0"/>
        </w:rPr>
        <w:t>下列关于可转换债券的论述正确的是（</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7D7480F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可转换期越长，债券价值越小</w:t>
      </w:r>
    </w:p>
    <w:p w14:paraId="4E1165C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可转换的股票的流动性越强，可转换债券的价值越高</w:t>
      </w:r>
    </w:p>
    <w:p w14:paraId="5B9F93B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股票的红利收益与债券到期收益差距越小，可转换债券的价值越高</w:t>
      </w:r>
    </w:p>
    <w:p w14:paraId="3A2C90E9">
      <w:pPr>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可转换债券的担保条件是可转换债券比股票更具吸引力的原因之一</w:t>
      </w:r>
    </w:p>
    <w:p w14:paraId="149ADC0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8、</w:t>
      </w:r>
      <w:r>
        <w:rPr>
          <w:rFonts w:cs="宋体" w:asciiTheme="minorEastAsia" w:hAnsiTheme="minorEastAsia"/>
          <w:color w:val="000000"/>
          <w:kern w:val="0"/>
        </w:rPr>
        <w:t>一般来说，债券的期限越长，流动性溢价（</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45D92EC1">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越大</w:t>
      </w:r>
    </w:p>
    <w:p w14:paraId="6612020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越小</w:t>
      </w:r>
    </w:p>
    <w:p w14:paraId="2051728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C. 不变</w:t>
      </w:r>
    </w:p>
    <w:p w14:paraId="4CE4164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不确定</w:t>
      </w:r>
    </w:p>
    <w:p w14:paraId="3AB98E26">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9、</w:t>
      </w:r>
      <w:r>
        <w:rPr>
          <w:rFonts w:cs="宋体" w:asciiTheme="minorEastAsia" w:hAnsiTheme="minorEastAsia"/>
          <w:color w:val="000000"/>
          <w:kern w:val="0"/>
        </w:rPr>
        <w:t>港股每日的最大涨跌幅度为（</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18F780E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5%</w:t>
      </w:r>
    </w:p>
    <w:p w14:paraId="43E615D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10%</w:t>
      </w:r>
    </w:p>
    <w:p w14:paraId="2FB12CA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30%</w:t>
      </w:r>
    </w:p>
    <w:p w14:paraId="310BB76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D. 不设涨跌幅限制</w:t>
      </w:r>
    </w:p>
    <w:p w14:paraId="70D3F88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10、</w:t>
      </w:r>
      <w:r>
        <w:rPr>
          <w:rFonts w:cs="宋体" w:asciiTheme="minorEastAsia" w:hAnsiTheme="minorEastAsia"/>
          <w:color w:val="000000"/>
          <w:kern w:val="0"/>
        </w:rPr>
        <w:t>因港股通于交易成交后</w:t>
      </w:r>
      <w:r>
        <w:rPr>
          <w:rFonts w:hint="eastAsia" w:cs="宋体" w:asciiTheme="minorEastAsia" w:hAnsiTheme="minorEastAsia"/>
          <w:color w:val="000000"/>
          <w:kern w:val="0"/>
        </w:rPr>
        <w:t>T+2日交收，下列说法正确的是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379943E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买入的股票，在交收前不享有上市公司分派的权益</w:t>
      </w:r>
    </w:p>
    <w:p w14:paraId="55056BF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B. 买入的股票，立即享有上市公司分派的权益</w:t>
      </w:r>
    </w:p>
    <w:p w14:paraId="08C1EC7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卖出的股票，在交收后仍享有上市公司分派的权益</w:t>
      </w:r>
    </w:p>
    <w:p w14:paraId="56F32EE8">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卖出的股票，立即不享有上市公司分派的权益</w:t>
      </w:r>
    </w:p>
    <w:p w14:paraId="56B109BD">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11、</w:t>
      </w:r>
      <w:r>
        <w:rPr>
          <w:rFonts w:cs="宋体" w:asciiTheme="minorEastAsia" w:hAnsiTheme="minorEastAsia"/>
          <w:color w:val="000000"/>
          <w:kern w:val="0"/>
        </w:rPr>
        <w:t>有关融资融券，担保物追加不足的后果有哪些（</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4244BC1B">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A.</w:t>
      </w:r>
      <w:r>
        <w:rPr>
          <w:rFonts w:hint="eastAsia" w:cs="宋体" w:asciiTheme="minorEastAsia" w:hAnsiTheme="minorEastAsia"/>
          <w:color w:val="000000"/>
          <w:kern w:val="0"/>
        </w:rPr>
        <w:t xml:space="preserve"> 强制平仓</w:t>
      </w:r>
    </w:p>
    <w:p w14:paraId="276B450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客户信用等级降低</w:t>
      </w:r>
    </w:p>
    <w:p w14:paraId="7242974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债务追索</w:t>
      </w:r>
    </w:p>
    <w:p w14:paraId="47E89F5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司法诉讼</w:t>
      </w:r>
    </w:p>
    <w:p w14:paraId="7BEB58C4">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12、</w:t>
      </w:r>
      <w:r>
        <w:rPr>
          <w:rFonts w:cs="宋体" w:asciiTheme="minorEastAsia" w:hAnsiTheme="minorEastAsia"/>
          <w:color w:val="000000"/>
          <w:kern w:val="0"/>
        </w:rPr>
        <w:t>投资者信用账户存在</w:t>
      </w:r>
      <w:r>
        <w:rPr>
          <w:rFonts w:hint="eastAsia" w:cs="宋体" w:asciiTheme="minorEastAsia" w:hAnsiTheme="minorEastAsia"/>
          <w:color w:val="000000"/>
          <w:kern w:val="0"/>
        </w:rPr>
        <w:t>未</w:t>
      </w:r>
      <w:r>
        <w:rPr>
          <w:rFonts w:cs="宋体" w:asciiTheme="minorEastAsia" w:hAnsiTheme="minorEastAsia"/>
          <w:color w:val="000000"/>
          <w:kern w:val="0"/>
        </w:rPr>
        <w:t>了结的融资融券交易时，投资者可以申请划转保证金可用余额中的现金或充抵保证金的证券到普通证券账户，但划转后维持担保比例不得低于（</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D0C303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300%</w:t>
      </w:r>
    </w:p>
    <w:p w14:paraId="0957E25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200%</w:t>
      </w:r>
    </w:p>
    <w:p w14:paraId="4501F32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150%</w:t>
      </w:r>
    </w:p>
    <w:p w14:paraId="23D7886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130%</w:t>
      </w:r>
    </w:p>
    <w:p w14:paraId="75260B81">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13、根据现代组合理论，能够反映投资组合风险大小的定量指标，除了组合方差外，还有</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2D73FFF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贝塔系数</w:t>
      </w:r>
    </w:p>
    <w:p w14:paraId="076B7697">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期望值</w:t>
      </w:r>
    </w:p>
    <w:p w14:paraId="777C43F1">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权重</w:t>
      </w:r>
    </w:p>
    <w:p w14:paraId="34EA092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协方差</w:t>
      </w:r>
    </w:p>
    <w:p w14:paraId="60DA323A">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14、投资者在强趋势的市场中的最优策略为</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6177149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买入并持有策略</w:t>
      </w:r>
    </w:p>
    <w:p w14:paraId="2C59373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恒定混合策略</w:t>
      </w:r>
    </w:p>
    <w:p w14:paraId="66353F0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投资组合保险策略</w:t>
      </w:r>
    </w:p>
    <w:p w14:paraId="739E0B9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战术性策略</w:t>
      </w:r>
    </w:p>
    <w:p w14:paraId="3E88A8A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15、下列关于看涨期权的说法，不正确的是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3B535F7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有效期越长，时间价值越高</w:t>
      </w:r>
    </w:p>
    <w:p w14:paraId="2F261196">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标的物价格波动率越高，期权价格越高</w:t>
      </w:r>
    </w:p>
    <w:p w14:paraId="093FA9F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市场价格高于执行价格越多，期权内涵价值越高</w:t>
      </w:r>
    </w:p>
    <w:p w14:paraId="09805899">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执行价格越低，时间价值越高</w:t>
      </w:r>
    </w:p>
    <w:p w14:paraId="58D10E53">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16、看涨期权的买方要想通过对冲平仓了结在手的合约，需要</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67090CA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买入看涨期权</w:t>
      </w:r>
    </w:p>
    <w:p w14:paraId="57224D0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卖出看涨期权</w:t>
      </w:r>
    </w:p>
    <w:p w14:paraId="00CC35F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买入看跌期权</w:t>
      </w:r>
    </w:p>
    <w:p w14:paraId="4994F55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卖出看跌期权</w:t>
      </w:r>
    </w:p>
    <w:p w14:paraId="25080B50">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17、下列对ETF基金份额申购赎回的说法正确的是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328F5F4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申购、赎回ETF基金份额采用金额申购、份额赎回的方式</w:t>
      </w:r>
    </w:p>
    <w:p w14:paraId="0679DA19">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一般最小申购、赎回单位为100万份</w:t>
      </w:r>
    </w:p>
    <w:p w14:paraId="6267900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投资者申购、赎回的基金份额须为最小申购、赎回单位的整数倍</w:t>
      </w:r>
    </w:p>
    <w:p w14:paraId="18C52E99">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申购、赎回申请提交后可以撤销</w:t>
      </w:r>
    </w:p>
    <w:p w14:paraId="64B618D1">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18、以下有价证券的流动性最低的是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7640ED7D">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ETF</w:t>
      </w:r>
    </w:p>
    <w:p w14:paraId="7BE12A3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LOF</w:t>
      </w:r>
    </w:p>
    <w:p w14:paraId="2B340AF5">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记账式国债</w:t>
      </w:r>
    </w:p>
    <w:p w14:paraId="48B466C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凭证式国债</w:t>
      </w:r>
    </w:p>
    <w:p w14:paraId="55A7F8BC">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19、有关私募基金的特点表述，不正确的是</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5399AA3">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投资者的投资金额要求高</w:t>
      </w:r>
    </w:p>
    <w:p w14:paraId="4A9502F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运作灵活，受到的限制与约束较少</w:t>
      </w:r>
    </w:p>
    <w:p w14:paraId="104C64BC">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投资风险较小</w:t>
      </w:r>
    </w:p>
    <w:p w14:paraId="4D148180">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主要以富裕阶层为目标客户</w:t>
      </w:r>
    </w:p>
    <w:p w14:paraId="1422A0C2">
      <w:pPr>
        <w:spacing w:before="100" w:beforeAutospacing="1" w:after="100" w:afterAutospacing="1"/>
        <w:contextualSpacing/>
        <w:jc w:val="left"/>
        <w:rPr>
          <w:rFonts w:cs="宋体" w:asciiTheme="minorEastAsia" w:hAnsiTheme="minorEastAsia"/>
          <w:color w:val="000000"/>
          <w:kern w:val="0"/>
        </w:rPr>
      </w:pPr>
      <w:r>
        <w:rPr>
          <w:rFonts w:hint="eastAsia" w:cs="宋体" w:asciiTheme="minorEastAsia" w:hAnsiTheme="minorEastAsia"/>
          <w:color w:val="000000"/>
          <w:kern w:val="0"/>
        </w:rPr>
        <w:t>20、适合入选收入型组合的证券有</w:t>
      </w:r>
      <w:r>
        <w:rPr>
          <w:rFonts w:cs="宋体" w:asciiTheme="minorEastAsia" w:hAnsiTheme="minorEastAsia"/>
          <w:color w:val="000000"/>
          <w:kern w:val="0"/>
        </w:rPr>
        <w:t>（</w:t>
      </w:r>
      <w:r>
        <w:rPr>
          <w:rFonts w:hint="eastAsia" w:cs="宋体" w:asciiTheme="minorEastAsia" w:hAnsiTheme="minorEastAsia"/>
          <w:color w:val="000000"/>
          <w:kern w:val="0"/>
        </w:rPr>
        <w:t xml:space="preserve">  ）</w:t>
      </w:r>
      <w:r>
        <w:rPr>
          <w:rFonts w:cs="宋体" w:asciiTheme="minorEastAsia" w:hAnsiTheme="minorEastAsia"/>
          <w:color w:val="000000"/>
          <w:kern w:val="0"/>
        </w:rPr>
        <w:t>：</w:t>
      </w:r>
    </w:p>
    <w:p w14:paraId="0D46431F">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A. </w:t>
      </w:r>
      <w:r>
        <w:rPr>
          <w:rFonts w:hint="eastAsia" w:cs="宋体" w:asciiTheme="minorEastAsia" w:hAnsiTheme="minorEastAsia"/>
          <w:color w:val="000000"/>
          <w:kern w:val="0"/>
        </w:rPr>
        <w:t>高收益的普通股</w:t>
      </w:r>
    </w:p>
    <w:p w14:paraId="10D99D42">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B. </w:t>
      </w:r>
      <w:r>
        <w:rPr>
          <w:rFonts w:hint="eastAsia" w:cs="宋体" w:asciiTheme="minorEastAsia" w:hAnsiTheme="minorEastAsia"/>
          <w:color w:val="000000"/>
          <w:kern w:val="0"/>
        </w:rPr>
        <w:t>优先股</w:t>
      </w:r>
    </w:p>
    <w:p w14:paraId="3049BC6A">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C. </w:t>
      </w:r>
      <w:r>
        <w:rPr>
          <w:rFonts w:hint="eastAsia" w:cs="宋体" w:asciiTheme="minorEastAsia" w:hAnsiTheme="minorEastAsia"/>
          <w:color w:val="000000"/>
          <w:kern w:val="0"/>
        </w:rPr>
        <w:t>高派息风险的普通股</w:t>
      </w:r>
    </w:p>
    <w:p w14:paraId="15FBA04E">
      <w:pPr>
        <w:widowControl/>
        <w:spacing w:before="100" w:beforeAutospacing="1" w:after="100" w:afterAutospacing="1"/>
        <w:contextualSpacing/>
        <w:jc w:val="left"/>
        <w:rPr>
          <w:rFonts w:cs="宋体" w:asciiTheme="minorEastAsia" w:hAnsiTheme="minorEastAsia"/>
          <w:color w:val="000000"/>
          <w:kern w:val="0"/>
        </w:rPr>
      </w:pPr>
      <w:r>
        <w:rPr>
          <w:rFonts w:cs="宋体" w:asciiTheme="minorEastAsia" w:hAnsiTheme="minorEastAsia"/>
          <w:color w:val="000000"/>
          <w:kern w:val="0"/>
        </w:rPr>
        <w:t xml:space="preserve">D. </w:t>
      </w:r>
      <w:r>
        <w:rPr>
          <w:rFonts w:hint="eastAsia" w:cs="宋体" w:asciiTheme="minorEastAsia" w:hAnsiTheme="minorEastAsia"/>
          <w:color w:val="000000"/>
          <w:kern w:val="0"/>
        </w:rPr>
        <w:t>低派息、股价涨幅较大的普通股</w:t>
      </w:r>
    </w:p>
    <w:p w14:paraId="67B47C16">
      <w:pPr>
        <w:widowControl/>
        <w:spacing w:before="100" w:beforeAutospacing="1" w:after="100" w:afterAutospacing="1"/>
        <w:contextualSpacing/>
        <w:jc w:val="left"/>
        <w:rPr>
          <w:rFonts w:cs="宋体" w:asciiTheme="minorEastAsia" w:hAnsiTheme="minorEastAsia"/>
          <w:color w:val="000000"/>
          <w:kern w:val="0"/>
        </w:rPr>
      </w:pPr>
    </w:p>
    <w:p w14:paraId="6D1FA309">
      <w:pPr>
        <w:widowControl/>
        <w:spacing w:before="100" w:beforeAutospacing="1" w:after="100" w:afterAutospacing="1"/>
        <w:contextualSpacing/>
        <w:jc w:val="left"/>
        <w:rPr>
          <w:rFonts w:asciiTheme="minorEastAsia" w:hAnsiTheme="minorEastAsia"/>
          <w:b w:val="0"/>
          <w:sz w:val="28"/>
          <w:szCs w:val="28"/>
        </w:rPr>
      </w:pPr>
    </w:p>
    <w:p w14:paraId="3B962286">
      <w:pPr>
        <w:widowControl/>
        <w:spacing w:before="100" w:beforeAutospacing="1" w:after="100" w:afterAutospacing="1"/>
        <w:contextualSpacing/>
        <w:jc w:val="left"/>
        <w:rPr>
          <w:rFonts w:hint="default" w:eastAsia="宋体" w:asciiTheme="minorEastAsia" w:hAnsiTheme="minorEastAsia"/>
          <w:sz w:val="28"/>
          <w:szCs w:val="28"/>
          <w:lang w:val="en-US" w:eastAsia="zh-CN"/>
        </w:rPr>
      </w:pPr>
      <w:r>
        <w:rPr>
          <w:rFonts w:hint="eastAsia" w:asciiTheme="minorEastAsia" w:hAnsiTheme="minorEastAsia"/>
          <w:sz w:val="28"/>
          <w:szCs w:val="28"/>
        </w:rPr>
        <w:t xml:space="preserve">  客户签字：</w:t>
      </w:r>
      <w:r>
        <w:rPr>
          <w:rFonts w:hint="eastAsia" w:asciiTheme="minorEastAsia" w:hAnsiTheme="minorEastAsia"/>
          <w:sz w:val="28"/>
          <w:szCs w:val="28"/>
          <w:lang w:val="en-US" w:eastAsia="zh-CN"/>
        </w:rPr>
        <w:t xml:space="preserve">                  日期：     年    月    日</w:t>
      </w:r>
    </w:p>
    <w:p w14:paraId="1B3CEB09">
      <w:pPr>
        <w:widowControl/>
        <w:spacing w:before="100" w:beforeAutospacing="1" w:after="100" w:afterAutospacing="1"/>
        <w:contextualSpacing/>
        <w:jc w:val="left"/>
        <w:rPr>
          <w:rFonts w:cs="仿宋_GB2312" w:asciiTheme="minorEastAsia" w:hAnsiTheme="minorEastAsia" w:eastAsiaTheme="minorEastAsia"/>
          <w:b w:val="0"/>
          <w:kern w:val="0"/>
        </w:rPr>
      </w:pPr>
    </w:p>
    <w:sectPr>
      <w:headerReference r:id="rId3" w:type="default"/>
      <w:footerReference r:id="rId4" w:type="default"/>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3688"/>
    </w:sdtPr>
    <w:sdtContent>
      <w:p w14:paraId="624DC709">
        <w:pPr>
          <w:pStyle w:val="6"/>
          <w:ind w:left="482"/>
          <w:jc w:val="center"/>
        </w:pPr>
        <w:r>
          <w:fldChar w:fldCharType="begin"/>
        </w:r>
        <w:r>
          <w:instrText xml:space="preserve"> PAGE   \* MERGEFORMAT </w:instrText>
        </w:r>
        <w:r>
          <w:fldChar w:fldCharType="separate"/>
        </w:r>
        <w:r>
          <w:rPr>
            <w:lang w:val="zh-CN"/>
          </w:rPr>
          <w:t>3</w:t>
        </w:r>
        <w:r>
          <w:rPr>
            <w:lang w:val="zh-CN"/>
          </w:rPr>
          <w:fldChar w:fldCharType="end"/>
        </w:r>
      </w:p>
    </w:sdtContent>
  </w:sdt>
  <w:p w14:paraId="38D8695C">
    <w:pPr>
      <w:pStyle w:val="6"/>
      <w:ind w:left="48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F9C31">
    <w:pPr>
      <w:pStyle w:val="7"/>
      <w:jc w:val="both"/>
    </w:pPr>
    <w:r>
      <w:rPr>
        <w:rFonts w:hint="eastAsia" w:eastAsia="宋体"/>
        <w:lang w:eastAsia="zh-CN"/>
      </w:rPr>
      <w:drawing>
        <wp:inline distT="0" distB="0" distL="114300" distR="114300">
          <wp:extent cx="1200785" cy="225425"/>
          <wp:effectExtent l="0" t="0" r="57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D61"/>
    <w:rsid w:val="0000167C"/>
    <w:rsid w:val="00006601"/>
    <w:rsid w:val="00007324"/>
    <w:rsid w:val="00007812"/>
    <w:rsid w:val="00010781"/>
    <w:rsid w:val="0001401B"/>
    <w:rsid w:val="000238EC"/>
    <w:rsid w:val="000264B0"/>
    <w:rsid w:val="00026C38"/>
    <w:rsid w:val="00026E50"/>
    <w:rsid w:val="00042CA1"/>
    <w:rsid w:val="00047DDE"/>
    <w:rsid w:val="00052C1F"/>
    <w:rsid w:val="000532DB"/>
    <w:rsid w:val="0005520E"/>
    <w:rsid w:val="00061483"/>
    <w:rsid w:val="0006202B"/>
    <w:rsid w:val="000622DA"/>
    <w:rsid w:val="00076B26"/>
    <w:rsid w:val="00080534"/>
    <w:rsid w:val="00083409"/>
    <w:rsid w:val="00084FDB"/>
    <w:rsid w:val="00091634"/>
    <w:rsid w:val="000975C9"/>
    <w:rsid w:val="000A15B3"/>
    <w:rsid w:val="000A162A"/>
    <w:rsid w:val="000A26B4"/>
    <w:rsid w:val="000A453E"/>
    <w:rsid w:val="000B0761"/>
    <w:rsid w:val="000B1EEE"/>
    <w:rsid w:val="000B64CD"/>
    <w:rsid w:val="000C398D"/>
    <w:rsid w:val="000E2F3E"/>
    <w:rsid w:val="000E4C7B"/>
    <w:rsid w:val="000E751D"/>
    <w:rsid w:val="000F0E10"/>
    <w:rsid w:val="000F168C"/>
    <w:rsid w:val="000F5669"/>
    <w:rsid w:val="00113F57"/>
    <w:rsid w:val="00121BD5"/>
    <w:rsid w:val="00122FD9"/>
    <w:rsid w:val="00123DF1"/>
    <w:rsid w:val="00132247"/>
    <w:rsid w:val="001349A8"/>
    <w:rsid w:val="0015053C"/>
    <w:rsid w:val="001753DF"/>
    <w:rsid w:val="00181658"/>
    <w:rsid w:val="00182C66"/>
    <w:rsid w:val="00185631"/>
    <w:rsid w:val="001856DF"/>
    <w:rsid w:val="001A4A45"/>
    <w:rsid w:val="001B4D09"/>
    <w:rsid w:val="001C3619"/>
    <w:rsid w:val="001C5083"/>
    <w:rsid w:val="001E1E99"/>
    <w:rsid w:val="001F2D01"/>
    <w:rsid w:val="001F7351"/>
    <w:rsid w:val="002013D5"/>
    <w:rsid w:val="0021683F"/>
    <w:rsid w:val="002200D5"/>
    <w:rsid w:val="00220CE6"/>
    <w:rsid w:val="00221CD7"/>
    <w:rsid w:val="002259C8"/>
    <w:rsid w:val="00230DC9"/>
    <w:rsid w:val="0023141F"/>
    <w:rsid w:val="002322E5"/>
    <w:rsid w:val="00237054"/>
    <w:rsid w:val="00245213"/>
    <w:rsid w:val="00245432"/>
    <w:rsid w:val="00252DDA"/>
    <w:rsid w:val="00264E51"/>
    <w:rsid w:val="00275A7C"/>
    <w:rsid w:val="002813B6"/>
    <w:rsid w:val="002816B1"/>
    <w:rsid w:val="00286A51"/>
    <w:rsid w:val="0028784C"/>
    <w:rsid w:val="002A22DE"/>
    <w:rsid w:val="002A6E36"/>
    <w:rsid w:val="002B3064"/>
    <w:rsid w:val="002C4F47"/>
    <w:rsid w:val="002C500E"/>
    <w:rsid w:val="002C6BC5"/>
    <w:rsid w:val="002D2CC5"/>
    <w:rsid w:val="002D5E9A"/>
    <w:rsid w:val="002E35F9"/>
    <w:rsid w:val="002E5F98"/>
    <w:rsid w:val="002F1877"/>
    <w:rsid w:val="002F2838"/>
    <w:rsid w:val="002F6F3A"/>
    <w:rsid w:val="00303875"/>
    <w:rsid w:val="00305250"/>
    <w:rsid w:val="00306E82"/>
    <w:rsid w:val="0030755B"/>
    <w:rsid w:val="00324DBA"/>
    <w:rsid w:val="00327417"/>
    <w:rsid w:val="003400ED"/>
    <w:rsid w:val="00342FDD"/>
    <w:rsid w:val="00352816"/>
    <w:rsid w:val="00355DE9"/>
    <w:rsid w:val="003603B4"/>
    <w:rsid w:val="00361B40"/>
    <w:rsid w:val="003640AE"/>
    <w:rsid w:val="003676C8"/>
    <w:rsid w:val="0037605E"/>
    <w:rsid w:val="003766A2"/>
    <w:rsid w:val="0037696C"/>
    <w:rsid w:val="0038061D"/>
    <w:rsid w:val="00380D7B"/>
    <w:rsid w:val="00383A61"/>
    <w:rsid w:val="003856EC"/>
    <w:rsid w:val="00390AE6"/>
    <w:rsid w:val="00392607"/>
    <w:rsid w:val="0039729B"/>
    <w:rsid w:val="00397864"/>
    <w:rsid w:val="003A27F1"/>
    <w:rsid w:val="003A5A6B"/>
    <w:rsid w:val="003B20EC"/>
    <w:rsid w:val="003B2268"/>
    <w:rsid w:val="003C3CA0"/>
    <w:rsid w:val="003D0FF4"/>
    <w:rsid w:val="003D1D05"/>
    <w:rsid w:val="003D27CF"/>
    <w:rsid w:val="003F1C9B"/>
    <w:rsid w:val="003F5FAC"/>
    <w:rsid w:val="003F63FB"/>
    <w:rsid w:val="003F784C"/>
    <w:rsid w:val="00404255"/>
    <w:rsid w:val="0041200C"/>
    <w:rsid w:val="004136ED"/>
    <w:rsid w:val="004153A4"/>
    <w:rsid w:val="0043074C"/>
    <w:rsid w:val="00437E45"/>
    <w:rsid w:val="004440CB"/>
    <w:rsid w:val="004442EA"/>
    <w:rsid w:val="004648E6"/>
    <w:rsid w:val="00466800"/>
    <w:rsid w:val="00471EFE"/>
    <w:rsid w:val="004807F5"/>
    <w:rsid w:val="00484239"/>
    <w:rsid w:val="00486D88"/>
    <w:rsid w:val="004904D5"/>
    <w:rsid w:val="004910C0"/>
    <w:rsid w:val="00491147"/>
    <w:rsid w:val="004A186C"/>
    <w:rsid w:val="004A6731"/>
    <w:rsid w:val="004B1DB6"/>
    <w:rsid w:val="004B60C0"/>
    <w:rsid w:val="004B6A19"/>
    <w:rsid w:val="004C315E"/>
    <w:rsid w:val="004C3794"/>
    <w:rsid w:val="004D22F6"/>
    <w:rsid w:val="004D426C"/>
    <w:rsid w:val="004E0B80"/>
    <w:rsid w:val="004E4B30"/>
    <w:rsid w:val="004E5F95"/>
    <w:rsid w:val="004F31E6"/>
    <w:rsid w:val="00500EF4"/>
    <w:rsid w:val="00501C27"/>
    <w:rsid w:val="0050381E"/>
    <w:rsid w:val="00520EE9"/>
    <w:rsid w:val="0052171D"/>
    <w:rsid w:val="00522344"/>
    <w:rsid w:val="00542573"/>
    <w:rsid w:val="00544D4C"/>
    <w:rsid w:val="00546E60"/>
    <w:rsid w:val="00547F02"/>
    <w:rsid w:val="00551DC5"/>
    <w:rsid w:val="00561C1A"/>
    <w:rsid w:val="00566E20"/>
    <w:rsid w:val="005761A2"/>
    <w:rsid w:val="0058464C"/>
    <w:rsid w:val="005930D6"/>
    <w:rsid w:val="00597469"/>
    <w:rsid w:val="005978DC"/>
    <w:rsid w:val="005A1175"/>
    <w:rsid w:val="005A21F2"/>
    <w:rsid w:val="005A2357"/>
    <w:rsid w:val="005A2BB2"/>
    <w:rsid w:val="005B31F7"/>
    <w:rsid w:val="005C2907"/>
    <w:rsid w:val="005C6515"/>
    <w:rsid w:val="005F046E"/>
    <w:rsid w:val="005F32C1"/>
    <w:rsid w:val="005F69E1"/>
    <w:rsid w:val="00607931"/>
    <w:rsid w:val="00612548"/>
    <w:rsid w:val="00615B87"/>
    <w:rsid w:val="006411DF"/>
    <w:rsid w:val="006439D6"/>
    <w:rsid w:val="00643EB3"/>
    <w:rsid w:val="00644723"/>
    <w:rsid w:val="00646663"/>
    <w:rsid w:val="00655E3B"/>
    <w:rsid w:val="00666FA1"/>
    <w:rsid w:val="00670351"/>
    <w:rsid w:val="00673D34"/>
    <w:rsid w:val="00674538"/>
    <w:rsid w:val="00676FC9"/>
    <w:rsid w:val="00687595"/>
    <w:rsid w:val="00696460"/>
    <w:rsid w:val="006965CD"/>
    <w:rsid w:val="006B05A8"/>
    <w:rsid w:val="006B0EF8"/>
    <w:rsid w:val="006C66C2"/>
    <w:rsid w:val="006D1DF3"/>
    <w:rsid w:val="006D3B55"/>
    <w:rsid w:val="006E102A"/>
    <w:rsid w:val="006E5C61"/>
    <w:rsid w:val="006F68EA"/>
    <w:rsid w:val="007017DB"/>
    <w:rsid w:val="00701DAA"/>
    <w:rsid w:val="00710068"/>
    <w:rsid w:val="00715305"/>
    <w:rsid w:val="007179A5"/>
    <w:rsid w:val="00742DE1"/>
    <w:rsid w:val="00746929"/>
    <w:rsid w:val="007470E9"/>
    <w:rsid w:val="00753D19"/>
    <w:rsid w:val="007563B5"/>
    <w:rsid w:val="00756D1E"/>
    <w:rsid w:val="00757F12"/>
    <w:rsid w:val="00763501"/>
    <w:rsid w:val="00763C20"/>
    <w:rsid w:val="00763DAA"/>
    <w:rsid w:val="00770C3F"/>
    <w:rsid w:val="007732EE"/>
    <w:rsid w:val="00774646"/>
    <w:rsid w:val="00774677"/>
    <w:rsid w:val="00781AEC"/>
    <w:rsid w:val="00781BAB"/>
    <w:rsid w:val="00783BB3"/>
    <w:rsid w:val="007846E3"/>
    <w:rsid w:val="007848EB"/>
    <w:rsid w:val="00790A1E"/>
    <w:rsid w:val="0079125C"/>
    <w:rsid w:val="007941AB"/>
    <w:rsid w:val="00795F57"/>
    <w:rsid w:val="007A1C09"/>
    <w:rsid w:val="007A28BD"/>
    <w:rsid w:val="007A2A75"/>
    <w:rsid w:val="007C55BC"/>
    <w:rsid w:val="007D18A6"/>
    <w:rsid w:val="007D18F5"/>
    <w:rsid w:val="007E30AD"/>
    <w:rsid w:val="007E6B11"/>
    <w:rsid w:val="007F417E"/>
    <w:rsid w:val="007F4E95"/>
    <w:rsid w:val="00811990"/>
    <w:rsid w:val="0081501D"/>
    <w:rsid w:val="00823AA5"/>
    <w:rsid w:val="0082506E"/>
    <w:rsid w:val="00825177"/>
    <w:rsid w:val="008266A7"/>
    <w:rsid w:val="008310A0"/>
    <w:rsid w:val="00831DA8"/>
    <w:rsid w:val="00835233"/>
    <w:rsid w:val="00835D9C"/>
    <w:rsid w:val="008370EB"/>
    <w:rsid w:val="00840837"/>
    <w:rsid w:val="00842821"/>
    <w:rsid w:val="0084390F"/>
    <w:rsid w:val="0084415E"/>
    <w:rsid w:val="0084466A"/>
    <w:rsid w:val="00845F0B"/>
    <w:rsid w:val="008564DE"/>
    <w:rsid w:val="008568BD"/>
    <w:rsid w:val="00867AC7"/>
    <w:rsid w:val="00874795"/>
    <w:rsid w:val="008765C8"/>
    <w:rsid w:val="008A12AD"/>
    <w:rsid w:val="008A1C9C"/>
    <w:rsid w:val="008A2D61"/>
    <w:rsid w:val="008A49B2"/>
    <w:rsid w:val="008A5276"/>
    <w:rsid w:val="008A7CCB"/>
    <w:rsid w:val="008B46CB"/>
    <w:rsid w:val="008D53BF"/>
    <w:rsid w:val="008D714D"/>
    <w:rsid w:val="008E4589"/>
    <w:rsid w:val="008E4EB4"/>
    <w:rsid w:val="008E5CA4"/>
    <w:rsid w:val="008E69F8"/>
    <w:rsid w:val="008F1123"/>
    <w:rsid w:val="00904060"/>
    <w:rsid w:val="00910A51"/>
    <w:rsid w:val="00912E6F"/>
    <w:rsid w:val="0092493B"/>
    <w:rsid w:val="00930028"/>
    <w:rsid w:val="009333A5"/>
    <w:rsid w:val="00946828"/>
    <w:rsid w:val="00950822"/>
    <w:rsid w:val="009530E1"/>
    <w:rsid w:val="00956A31"/>
    <w:rsid w:val="009622A8"/>
    <w:rsid w:val="00963626"/>
    <w:rsid w:val="00970B01"/>
    <w:rsid w:val="00971F43"/>
    <w:rsid w:val="009749A9"/>
    <w:rsid w:val="00975BEA"/>
    <w:rsid w:val="00975FD5"/>
    <w:rsid w:val="00986C16"/>
    <w:rsid w:val="009900D9"/>
    <w:rsid w:val="00997BB7"/>
    <w:rsid w:val="009A0EDE"/>
    <w:rsid w:val="009A7013"/>
    <w:rsid w:val="009B41F9"/>
    <w:rsid w:val="009D0329"/>
    <w:rsid w:val="009D07FD"/>
    <w:rsid w:val="009D0F95"/>
    <w:rsid w:val="009D2283"/>
    <w:rsid w:val="009D3239"/>
    <w:rsid w:val="009D3CEB"/>
    <w:rsid w:val="009D57F6"/>
    <w:rsid w:val="009E599B"/>
    <w:rsid w:val="009E7DA6"/>
    <w:rsid w:val="009F1701"/>
    <w:rsid w:val="009F3B7F"/>
    <w:rsid w:val="009F6D35"/>
    <w:rsid w:val="00A116B6"/>
    <w:rsid w:val="00A14AAC"/>
    <w:rsid w:val="00A2106A"/>
    <w:rsid w:val="00A31521"/>
    <w:rsid w:val="00A320B0"/>
    <w:rsid w:val="00A32CF4"/>
    <w:rsid w:val="00A3309E"/>
    <w:rsid w:val="00A35E5E"/>
    <w:rsid w:val="00A43808"/>
    <w:rsid w:val="00A44204"/>
    <w:rsid w:val="00A56D16"/>
    <w:rsid w:val="00A611DE"/>
    <w:rsid w:val="00A62CFC"/>
    <w:rsid w:val="00A65DB8"/>
    <w:rsid w:val="00A7049F"/>
    <w:rsid w:val="00A72B12"/>
    <w:rsid w:val="00A7611A"/>
    <w:rsid w:val="00A76790"/>
    <w:rsid w:val="00A810A9"/>
    <w:rsid w:val="00A81BD1"/>
    <w:rsid w:val="00A868E9"/>
    <w:rsid w:val="00A86FFE"/>
    <w:rsid w:val="00A94EA2"/>
    <w:rsid w:val="00AB4EED"/>
    <w:rsid w:val="00AE511E"/>
    <w:rsid w:val="00AF04C7"/>
    <w:rsid w:val="00AF5F39"/>
    <w:rsid w:val="00B04767"/>
    <w:rsid w:val="00B0743D"/>
    <w:rsid w:val="00B11D84"/>
    <w:rsid w:val="00B22D37"/>
    <w:rsid w:val="00B26509"/>
    <w:rsid w:val="00B30CA1"/>
    <w:rsid w:val="00B353CA"/>
    <w:rsid w:val="00B4278B"/>
    <w:rsid w:val="00B43983"/>
    <w:rsid w:val="00B46584"/>
    <w:rsid w:val="00B5310A"/>
    <w:rsid w:val="00B622FA"/>
    <w:rsid w:val="00B62DFA"/>
    <w:rsid w:val="00B74AE4"/>
    <w:rsid w:val="00B774F6"/>
    <w:rsid w:val="00B910B8"/>
    <w:rsid w:val="00B94665"/>
    <w:rsid w:val="00B9572A"/>
    <w:rsid w:val="00B95EED"/>
    <w:rsid w:val="00B97147"/>
    <w:rsid w:val="00BA22C0"/>
    <w:rsid w:val="00BB1818"/>
    <w:rsid w:val="00BB2A9F"/>
    <w:rsid w:val="00BC4055"/>
    <w:rsid w:val="00BD2D88"/>
    <w:rsid w:val="00BD4039"/>
    <w:rsid w:val="00C00964"/>
    <w:rsid w:val="00C10D4C"/>
    <w:rsid w:val="00C11A7C"/>
    <w:rsid w:val="00C2358A"/>
    <w:rsid w:val="00C24AD5"/>
    <w:rsid w:val="00C414A0"/>
    <w:rsid w:val="00C44683"/>
    <w:rsid w:val="00C539AA"/>
    <w:rsid w:val="00C55B0A"/>
    <w:rsid w:val="00C57049"/>
    <w:rsid w:val="00C60705"/>
    <w:rsid w:val="00C6372D"/>
    <w:rsid w:val="00C6427B"/>
    <w:rsid w:val="00C7257C"/>
    <w:rsid w:val="00C7509E"/>
    <w:rsid w:val="00C800A4"/>
    <w:rsid w:val="00C832F1"/>
    <w:rsid w:val="00C8449B"/>
    <w:rsid w:val="00C8724B"/>
    <w:rsid w:val="00C87C89"/>
    <w:rsid w:val="00C924A8"/>
    <w:rsid w:val="00C93D35"/>
    <w:rsid w:val="00CA20FD"/>
    <w:rsid w:val="00CA60A7"/>
    <w:rsid w:val="00CB31B0"/>
    <w:rsid w:val="00CD25CB"/>
    <w:rsid w:val="00CD58B2"/>
    <w:rsid w:val="00CE1B9A"/>
    <w:rsid w:val="00CE6F56"/>
    <w:rsid w:val="00CF1A62"/>
    <w:rsid w:val="00D10773"/>
    <w:rsid w:val="00D120D0"/>
    <w:rsid w:val="00D12970"/>
    <w:rsid w:val="00D2253C"/>
    <w:rsid w:val="00D2375E"/>
    <w:rsid w:val="00D26287"/>
    <w:rsid w:val="00D307BD"/>
    <w:rsid w:val="00D32F07"/>
    <w:rsid w:val="00D35232"/>
    <w:rsid w:val="00D37F5D"/>
    <w:rsid w:val="00D40B57"/>
    <w:rsid w:val="00D44721"/>
    <w:rsid w:val="00D4773B"/>
    <w:rsid w:val="00D54680"/>
    <w:rsid w:val="00D5707D"/>
    <w:rsid w:val="00D66FB3"/>
    <w:rsid w:val="00D738C8"/>
    <w:rsid w:val="00D9096E"/>
    <w:rsid w:val="00D91275"/>
    <w:rsid w:val="00D97729"/>
    <w:rsid w:val="00DA2CDA"/>
    <w:rsid w:val="00DB1099"/>
    <w:rsid w:val="00DB3B49"/>
    <w:rsid w:val="00DB3CFF"/>
    <w:rsid w:val="00DB68F1"/>
    <w:rsid w:val="00DD3D00"/>
    <w:rsid w:val="00DD44AF"/>
    <w:rsid w:val="00DD7139"/>
    <w:rsid w:val="00DE3719"/>
    <w:rsid w:val="00DE54EF"/>
    <w:rsid w:val="00DF44FA"/>
    <w:rsid w:val="00DF4E0E"/>
    <w:rsid w:val="00E23379"/>
    <w:rsid w:val="00E24592"/>
    <w:rsid w:val="00E252C9"/>
    <w:rsid w:val="00E31668"/>
    <w:rsid w:val="00E41428"/>
    <w:rsid w:val="00E41894"/>
    <w:rsid w:val="00E41BA8"/>
    <w:rsid w:val="00E425E8"/>
    <w:rsid w:val="00E44FEE"/>
    <w:rsid w:val="00E5487F"/>
    <w:rsid w:val="00E54BDB"/>
    <w:rsid w:val="00E701FA"/>
    <w:rsid w:val="00E730DF"/>
    <w:rsid w:val="00E75A25"/>
    <w:rsid w:val="00E75BEC"/>
    <w:rsid w:val="00E760CD"/>
    <w:rsid w:val="00E80ACA"/>
    <w:rsid w:val="00E82A17"/>
    <w:rsid w:val="00E9708E"/>
    <w:rsid w:val="00EA3800"/>
    <w:rsid w:val="00EB2F91"/>
    <w:rsid w:val="00EB3A48"/>
    <w:rsid w:val="00EB64D0"/>
    <w:rsid w:val="00EC2213"/>
    <w:rsid w:val="00EC6404"/>
    <w:rsid w:val="00ED2829"/>
    <w:rsid w:val="00EE20AA"/>
    <w:rsid w:val="00EE7872"/>
    <w:rsid w:val="00EF0AA8"/>
    <w:rsid w:val="00EF1F89"/>
    <w:rsid w:val="00EF2B0F"/>
    <w:rsid w:val="00EF75DD"/>
    <w:rsid w:val="00F07C53"/>
    <w:rsid w:val="00F1103E"/>
    <w:rsid w:val="00F114EC"/>
    <w:rsid w:val="00F143E2"/>
    <w:rsid w:val="00F23321"/>
    <w:rsid w:val="00F24F45"/>
    <w:rsid w:val="00F265FD"/>
    <w:rsid w:val="00F3305D"/>
    <w:rsid w:val="00F33420"/>
    <w:rsid w:val="00F36E66"/>
    <w:rsid w:val="00F501A0"/>
    <w:rsid w:val="00F52D10"/>
    <w:rsid w:val="00F617CC"/>
    <w:rsid w:val="00F623F7"/>
    <w:rsid w:val="00F655F8"/>
    <w:rsid w:val="00F67366"/>
    <w:rsid w:val="00F73CA6"/>
    <w:rsid w:val="00F75EF9"/>
    <w:rsid w:val="00F80CFE"/>
    <w:rsid w:val="00F87B04"/>
    <w:rsid w:val="00FA24BC"/>
    <w:rsid w:val="00FA308E"/>
    <w:rsid w:val="00FA3362"/>
    <w:rsid w:val="00FA5F3F"/>
    <w:rsid w:val="00FA751B"/>
    <w:rsid w:val="00FB1162"/>
    <w:rsid w:val="00FB5C7D"/>
    <w:rsid w:val="00FC326C"/>
    <w:rsid w:val="00FD3684"/>
    <w:rsid w:val="00FD397B"/>
    <w:rsid w:val="00FD45D9"/>
    <w:rsid w:val="00FD74A1"/>
    <w:rsid w:val="00FE5C48"/>
    <w:rsid w:val="00FE5D6E"/>
    <w:rsid w:val="00FE7292"/>
    <w:rsid w:val="04B7152A"/>
    <w:rsid w:val="26B9301B"/>
    <w:rsid w:val="386D0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kern w:val="2"/>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Balloon Text"/>
    <w:basedOn w:val="1"/>
    <w:link w:val="22"/>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b w:val="0"/>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b w:val="0"/>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customStyle="1" w:styleId="14">
    <w:name w:val="页眉 Char"/>
    <w:basedOn w:val="12"/>
    <w:link w:val="7"/>
    <w:qFormat/>
    <w:uiPriority w:val="99"/>
    <w:rPr>
      <w:sz w:val="18"/>
      <w:szCs w:val="18"/>
    </w:rPr>
  </w:style>
  <w:style w:type="character" w:customStyle="1" w:styleId="15">
    <w:name w:val="页脚 Char"/>
    <w:basedOn w:val="12"/>
    <w:link w:val="6"/>
    <w:qFormat/>
    <w:uiPriority w:val="99"/>
    <w:rPr>
      <w:sz w:val="18"/>
      <w:szCs w:val="18"/>
    </w:rPr>
  </w:style>
  <w:style w:type="paragraph" w:customStyle="1" w:styleId="16">
    <w:name w:val="Default"/>
    <w:qFormat/>
    <w:uiPriority w:val="0"/>
    <w:pPr>
      <w:widowControl w:val="0"/>
      <w:autoSpaceDE w:val="0"/>
      <w:autoSpaceDN w:val="0"/>
      <w:adjustRightInd w:val="0"/>
    </w:pPr>
    <w:rPr>
      <w:rFonts w:ascii="Arial Unicode MS" w:eastAsia="Arial Unicode MS" w:cs="Arial Unicode MS" w:hAnsiTheme="minorHAnsi"/>
      <w:color w:val="000000"/>
      <w:sz w:val="24"/>
      <w:szCs w:val="24"/>
      <w:lang w:val="en-US" w:eastAsia="zh-CN" w:bidi="ar-SA"/>
    </w:rPr>
  </w:style>
  <w:style w:type="paragraph" w:customStyle="1" w:styleId="17">
    <w:name w:val="列出段落1"/>
    <w:basedOn w:val="1"/>
    <w:qFormat/>
    <w:uiPriority w:val="34"/>
    <w:pPr>
      <w:ind w:firstLine="420" w:firstLineChars="200"/>
    </w:pPr>
  </w:style>
  <w:style w:type="paragraph" w:customStyle="1" w:styleId="18">
    <w:name w:val="Paragrafo elenco1"/>
    <w:basedOn w:val="1"/>
    <w:qFormat/>
    <w:uiPriority w:val="0"/>
    <w:pPr>
      <w:widowControl/>
      <w:spacing w:after="200" w:line="276" w:lineRule="auto"/>
      <w:ind w:left="720"/>
      <w:jc w:val="left"/>
    </w:pPr>
    <w:rPr>
      <w:rFonts w:ascii="CG Times" w:hAnsi="CG Times"/>
      <w:b w:val="0"/>
      <w:kern w:val="0"/>
      <w:szCs w:val="22"/>
      <w:lang w:eastAsia="en-US"/>
    </w:rPr>
  </w:style>
  <w:style w:type="character" w:customStyle="1" w:styleId="19">
    <w:name w:val="标题 1 Char"/>
    <w:basedOn w:val="12"/>
    <w:link w:val="2"/>
    <w:qFormat/>
    <w:uiPriority w:val="9"/>
    <w:rPr>
      <w:rFonts w:ascii="Times New Roman" w:hAnsi="Times New Roman" w:eastAsia="宋体" w:cs="Times New Roman"/>
      <w:b/>
      <w:bCs/>
      <w:kern w:val="44"/>
      <w:sz w:val="44"/>
      <w:szCs w:val="44"/>
    </w:rPr>
  </w:style>
  <w:style w:type="character" w:customStyle="1" w:styleId="20">
    <w:name w:val="标题 2 Char"/>
    <w:basedOn w:val="12"/>
    <w:link w:val="3"/>
    <w:qFormat/>
    <w:uiPriority w:val="9"/>
    <w:rPr>
      <w:rFonts w:asciiTheme="majorHAnsi" w:hAnsiTheme="majorHAnsi" w:eastAsiaTheme="majorEastAsia" w:cstheme="majorBidi"/>
      <w:b/>
      <w:bCs/>
      <w:sz w:val="32"/>
      <w:szCs w:val="32"/>
    </w:rPr>
  </w:style>
  <w:style w:type="paragraph" w:customStyle="1" w:styleId="2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2">
    <w:name w:val="批注框文本 Char"/>
    <w:basedOn w:val="12"/>
    <w:link w:val="5"/>
    <w:semiHidden/>
    <w:uiPriority w:val="99"/>
    <w:rPr>
      <w:rFonts w:ascii="Times New Roman" w:hAnsi="Times New Roman" w:eastAsia="宋体" w:cs="Times New Roman"/>
      <w:b/>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F729B-5657-4248-948D-5FE64B6185EE}">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275</Words>
  <Characters>1568</Characters>
  <Lines>13</Lines>
  <Paragraphs>3</Paragraphs>
  <TotalTime>0</TotalTime>
  <ScaleCrop>false</ScaleCrop>
  <LinksUpToDate>false</LinksUpToDate>
  <CharactersWithSpaces>1840</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2017-07-11T09:32:00Z</dcterms:created>
  <dc:creator>王子华</dc:creator>
  <cp:lastModifiedBy>霍达</cp:lastModifiedBy>
  <cp:lastPrinted>2017-05-19T00:58:00Z</cp:lastPrinted>
  <dcterms:modified xsi:type="dcterms:W3CDTF">2025-08-05T04:10:58Z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ICV">
    <vt:lpwstr>7D48B92D54E34492AA597F25CD04419E_12</vt:lpwstr>
  </property>
</Properties>
</file>