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AADA9">
      <w:pPr>
        <w:jc w:val="left"/>
        <w:rPr>
          <w:rFonts w:ascii="宋体" w:hAnsi="宋体"/>
          <w:b w:val="0"/>
        </w:rPr>
      </w:pPr>
    </w:p>
    <w:p w14:paraId="7BD4D74A">
      <w:pPr>
        <w:jc w:val="center"/>
        <w:rPr>
          <w:b w:val="0"/>
          <w:sz w:val="32"/>
          <w:szCs w:val="32"/>
        </w:rPr>
      </w:pPr>
      <w:r>
        <w:rPr>
          <w:rFonts w:hint="eastAsia"/>
          <w:sz w:val="32"/>
          <w:szCs w:val="32"/>
        </w:rPr>
        <w:t>山证</w:t>
      </w:r>
      <w:r>
        <w:rPr>
          <w:rFonts w:hint="eastAsia"/>
          <w:sz w:val="32"/>
          <w:szCs w:val="32"/>
          <w:lang w:eastAsia="zh-CN"/>
        </w:rPr>
        <w:t>（</w:t>
      </w:r>
      <w:r>
        <w:rPr>
          <w:rFonts w:hint="eastAsia"/>
          <w:sz w:val="32"/>
          <w:szCs w:val="32"/>
          <w:lang w:val="en-US" w:eastAsia="zh-CN"/>
        </w:rPr>
        <w:t>上海）资产管理</w:t>
      </w:r>
      <w:r>
        <w:rPr>
          <w:rFonts w:hint="eastAsia"/>
          <w:sz w:val="32"/>
          <w:szCs w:val="32"/>
        </w:rPr>
        <w:t>有限公司</w:t>
      </w:r>
    </w:p>
    <w:p w14:paraId="21A4342D">
      <w:pPr>
        <w:jc w:val="center"/>
        <w:rPr>
          <w:b w:val="0"/>
          <w:sz w:val="32"/>
          <w:szCs w:val="32"/>
        </w:rPr>
      </w:pPr>
      <w:r>
        <w:rPr>
          <w:rFonts w:hint="eastAsia"/>
          <w:sz w:val="32"/>
          <w:szCs w:val="32"/>
        </w:rPr>
        <w:t>普通投资者转专业投资者知识测试题</w:t>
      </w:r>
    </w:p>
    <w:p w14:paraId="7EEC7E9B">
      <w:pPr>
        <w:tabs>
          <w:tab w:val="center" w:pos="4818"/>
          <w:tab w:val="left" w:pos="8624"/>
        </w:tabs>
        <w:jc w:val="left"/>
        <w:rPr>
          <w:rFonts w:hint="eastAsia" w:ascii="黑体" w:hAnsi="黑体" w:eastAsia="黑体" w:cs="Calibri"/>
          <w:kern w:val="0"/>
          <w:lang w:eastAsia="zh-CN"/>
        </w:rPr>
      </w:pPr>
      <w:r>
        <w:rPr>
          <w:rFonts w:hint="eastAsia" w:ascii="黑体" w:hAnsi="黑体" w:eastAsia="黑体" w:cs="Calibri"/>
          <w:kern w:val="0"/>
          <w:lang w:eastAsia="zh-CN"/>
        </w:rPr>
        <w:tab/>
      </w:r>
      <w:r>
        <w:rPr>
          <w:rFonts w:hint="eastAsia" w:ascii="黑体" w:hAnsi="黑体" w:eastAsia="黑体" w:cs="Calibri"/>
          <w:kern w:val="0"/>
        </w:rPr>
        <w:t>（共20题,每题5分,共100分）</w:t>
      </w:r>
      <w:r>
        <w:rPr>
          <w:rFonts w:hint="eastAsia" w:ascii="黑体" w:hAnsi="黑体" w:eastAsia="黑体" w:cs="Calibri"/>
          <w:kern w:val="0"/>
          <w:lang w:eastAsia="zh-CN"/>
        </w:rPr>
        <w:tab/>
      </w:r>
    </w:p>
    <w:p w14:paraId="25F06031">
      <w:pPr>
        <w:tabs>
          <w:tab w:val="center" w:pos="4818"/>
          <w:tab w:val="left" w:pos="8624"/>
        </w:tabs>
        <w:jc w:val="left"/>
        <w:rPr>
          <w:rFonts w:cs="宋体" w:asciiTheme="minorEastAsia" w:hAnsiTheme="minorEastAsia"/>
          <w:color w:val="000000"/>
          <w:kern w:val="0"/>
        </w:rPr>
      </w:pPr>
      <w:r>
        <w:rPr>
          <w:rFonts w:hint="eastAsia" w:cs="宋体" w:asciiTheme="minorEastAsia" w:hAnsiTheme="minorEastAsia"/>
          <w:color w:val="000000"/>
          <w:kern w:val="0"/>
        </w:rPr>
        <w:t>1、</w:t>
      </w:r>
      <w:r>
        <w:rPr>
          <w:rFonts w:cs="宋体" w:asciiTheme="minorEastAsia" w:hAnsiTheme="minorEastAsia"/>
          <w:color w:val="000000"/>
          <w:kern w:val="0"/>
        </w:rPr>
        <w:t>普通投资者在下列哪个方面不享有特别保护（</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EC222D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 收益保证</w:t>
      </w:r>
    </w:p>
    <w:p w14:paraId="656057F0">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信息告知</w:t>
      </w:r>
    </w:p>
    <w:p w14:paraId="291EFA24">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风险警示</w:t>
      </w:r>
    </w:p>
    <w:p w14:paraId="60B5B69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适当性匹配</w:t>
      </w:r>
    </w:p>
    <w:p w14:paraId="71477499">
      <w:pPr>
        <w:widowControl/>
        <w:spacing w:before="100" w:beforeAutospacing="1" w:after="100" w:afterAutospacing="1"/>
        <w:contextualSpacing/>
        <w:jc w:val="left"/>
        <w:rPr>
          <w:rFonts w:cs="宋体" w:asciiTheme="minorEastAsia" w:hAnsiTheme="minorEastAsia"/>
          <w:color w:val="000000"/>
          <w:kern w:val="0"/>
        </w:rPr>
      </w:pPr>
    </w:p>
    <w:p w14:paraId="2A3149AB">
      <w:pPr>
        <w:widowControl/>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2、</w:t>
      </w:r>
      <w:r>
        <w:rPr>
          <w:rFonts w:cs="宋体" w:asciiTheme="minorEastAsia" w:hAnsiTheme="minorEastAsia"/>
          <w:color w:val="000000"/>
          <w:kern w:val="0"/>
        </w:rPr>
        <w:t>以下不属于风险揭示书必须充分揭示的内容的是（</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F922D0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 信用风险</w:t>
      </w:r>
    </w:p>
    <w:p w14:paraId="404728F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市场风险</w:t>
      </w:r>
    </w:p>
    <w:p w14:paraId="5BE38F3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预期收益</w:t>
      </w:r>
    </w:p>
    <w:p w14:paraId="42A68D0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流动性风险</w:t>
      </w:r>
    </w:p>
    <w:p w14:paraId="36F7A72E">
      <w:pPr>
        <w:widowControl/>
        <w:spacing w:before="100" w:beforeAutospacing="1" w:after="100" w:afterAutospacing="1"/>
        <w:contextualSpacing/>
        <w:jc w:val="left"/>
        <w:rPr>
          <w:rFonts w:cs="宋体" w:asciiTheme="minorEastAsia" w:hAnsiTheme="minorEastAsia"/>
          <w:color w:val="000000"/>
          <w:kern w:val="0"/>
        </w:rPr>
      </w:pPr>
    </w:p>
    <w:p w14:paraId="04FEB4EE">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3、</w:t>
      </w:r>
      <w:r>
        <w:rPr>
          <w:rFonts w:hint="eastAsia" w:cs="宋体" w:asciiTheme="minorEastAsia" w:hAnsiTheme="minorEastAsia"/>
          <w:color w:val="000000"/>
          <w:kern w:val="0"/>
          <w:lang w:val="en-US" w:eastAsia="zh-CN"/>
        </w:rPr>
        <w:t>关于普通投资者和专业投资者的相互转化，下列说法正确的是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27587ADC">
      <w:pPr>
        <w:spacing w:before="100" w:beforeAutospacing="1" w:after="100" w:afterAutospacing="1"/>
        <w:contextualSpacing/>
        <w:jc w:val="left"/>
        <w:rPr>
          <w:rFonts w:hint="eastAsia" w:cs="宋体" w:asciiTheme="minorEastAsia" w:hAnsiTheme="minorEastAsia"/>
          <w:color w:val="000000"/>
          <w:kern w:val="0"/>
        </w:rPr>
      </w:pPr>
      <w:r>
        <w:rPr>
          <w:rFonts w:hint="eastAsia" w:cs="宋体" w:asciiTheme="minorEastAsia" w:hAnsiTheme="minorEastAsia"/>
          <w:color w:val="000000"/>
          <w:kern w:val="0"/>
        </w:rPr>
        <w:t>A.普通投资者申请转化为专业投资者，必须提出书面申请，但无需提供证明材料</w:t>
      </w:r>
    </w:p>
    <w:p w14:paraId="4BF90ECA">
      <w:pPr>
        <w:spacing w:before="100" w:beforeAutospacing="1" w:after="100" w:afterAutospacing="1"/>
        <w:contextualSpacing/>
        <w:jc w:val="left"/>
        <w:rPr>
          <w:rFonts w:hint="eastAsia" w:cs="宋体" w:asciiTheme="minorEastAsia" w:hAnsiTheme="minorEastAsia"/>
          <w:color w:val="000000"/>
          <w:kern w:val="0"/>
        </w:rPr>
      </w:pPr>
      <w:r>
        <w:rPr>
          <w:rFonts w:hint="eastAsia" w:cs="宋体" w:asciiTheme="minorEastAsia" w:hAnsiTheme="minorEastAsia"/>
          <w:color w:val="000000"/>
          <w:kern w:val="0"/>
        </w:rPr>
        <w:t>B.符合条件的专业投资者，书面告知基金经营机构选择成为普通投资者时，如没有补充证明材料，基金经营机构有权拒绝</w:t>
      </w:r>
    </w:p>
    <w:p w14:paraId="0C16A833">
      <w:pPr>
        <w:spacing w:before="100" w:beforeAutospacing="1" w:after="100" w:afterAutospacing="1"/>
        <w:contextualSpacing/>
        <w:jc w:val="left"/>
        <w:rPr>
          <w:rFonts w:hint="eastAsia" w:cs="宋体" w:asciiTheme="minorEastAsia" w:hAnsiTheme="minorEastAsia"/>
          <w:color w:val="000000"/>
          <w:kern w:val="0"/>
        </w:rPr>
      </w:pPr>
      <w:r>
        <w:rPr>
          <w:rFonts w:hint="eastAsia" w:cs="宋体" w:asciiTheme="minorEastAsia" w:hAnsiTheme="minorEastAsia"/>
          <w:color w:val="000000"/>
          <w:kern w:val="0"/>
        </w:rPr>
        <w:t>C.普通投资者申请成为专业投资者，应当以书面形式向基金经营机构提出申请并确认自主承担可能产生的风险和后果，提供相关证明材料</w:t>
      </w:r>
    </w:p>
    <w:p w14:paraId="0137F291">
      <w:pPr>
        <w:spacing w:before="100" w:beforeAutospacing="1" w:after="100" w:afterAutospacing="1"/>
        <w:contextualSpacing/>
        <w:jc w:val="left"/>
        <w:rPr>
          <w:rFonts w:hint="eastAsia" w:cs="宋体" w:asciiTheme="minorEastAsia" w:hAnsiTheme="minorEastAsia"/>
          <w:color w:val="000000"/>
          <w:kern w:val="0"/>
        </w:rPr>
      </w:pPr>
      <w:r>
        <w:rPr>
          <w:rFonts w:hint="eastAsia" w:cs="宋体" w:asciiTheme="minorEastAsia" w:hAnsiTheme="minorEastAsia"/>
          <w:color w:val="000000"/>
          <w:kern w:val="0"/>
        </w:rPr>
        <w:t>D.普通投资者具备一定条件后，主动告知基金经营机构即可转换为专业投资者</w:t>
      </w:r>
    </w:p>
    <w:p w14:paraId="4CD86CCB">
      <w:pPr>
        <w:spacing w:before="100" w:beforeAutospacing="1" w:after="100" w:afterAutospacing="1"/>
        <w:contextualSpacing/>
        <w:jc w:val="left"/>
        <w:rPr>
          <w:rFonts w:hint="eastAsia" w:cs="宋体" w:asciiTheme="minorEastAsia" w:hAnsiTheme="minorEastAsia"/>
          <w:color w:val="000000"/>
          <w:kern w:val="0"/>
        </w:rPr>
      </w:pPr>
    </w:p>
    <w:p w14:paraId="0FFCD51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4、</w:t>
      </w:r>
      <w:r>
        <w:rPr>
          <w:rFonts w:cs="宋体" w:asciiTheme="minorEastAsia" w:hAnsiTheme="minorEastAsia"/>
          <w:color w:val="000000"/>
          <w:kern w:val="0"/>
        </w:rPr>
        <w:t>交易履约保障比例是指（</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3835EE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单笔交易或合并管理的多笔交易的标的证券市值与购回交易成交金额的比值</w:t>
      </w:r>
    </w:p>
    <w:p w14:paraId="053ADF0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单笔交易或合并管理的多笔交易的标的证券市值与初始交易成交金额的比值</w:t>
      </w:r>
    </w:p>
    <w:p w14:paraId="1D1FBD5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购回交易成交额与单笔交易或合并管理的多笔交易的标的证券市值的比值</w:t>
      </w:r>
    </w:p>
    <w:p w14:paraId="6055FB4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初始交易成交额与单笔交易或合并管理的多笔交易的标的证券市值的比值</w:t>
      </w:r>
    </w:p>
    <w:p w14:paraId="488DB5FB">
      <w:pPr>
        <w:widowControl/>
        <w:spacing w:before="100" w:beforeAutospacing="1" w:after="100" w:afterAutospacing="1"/>
        <w:contextualSpacing/>
        <w:jc w:val="left"/>
        <w:rPr>
          <w:rFonts w:cs="宋体" w:asciiTheme="minorEastAsia" w:hAnsiTheme="minorEastAsia"/>
          <w:color w:val="000000"/>
          <w:kern w:val="0"/>
        </w:rPr>
      </w:pPr>
    </w:p>
    <w:p w14:paraId="70BD69BA">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5、</w:t>
      </w:r>
      <w:r>
        <w:rPr>
          <w:rFonts w:cs="宋体" w:asciiTheme="minorEastAsia" w:hAnsiTheme="minorEastAsia"/>
          <w:color w:val="000000"/>
          <w:kern w:val="0"/>
        </w:rPr>
        <w:t>股票质押式回购交易期限最长不超过（</w:t>
      </w:r>
      <w:r>
        <w:rPr>
          <w:rFonts w:hint="eastAsia" w:cs="宋体" w:asciiTheme="minorEastAsia" w:hAnsiTheme="minorEastAsia"/>
          <w:color w:val="000000"/>
          <w:kern w:val="0"/>
        </w:rPr>
        <w:t xml:space="preserve">  ）年</w:t>
      </w:r>
      <w:r>
        <w:rPr>
          <w:rFonts w:cs="宋体" w:asciiTheme="minorEastAsia" w:hAnsiTheme="minorEastAsia"/>
          <w:color w:val="000000"/>
          <w:kern w:val="0"/>
        </w:rPr>
        <w:t>：</w:t>
      </w:r>
    </w:p>
    <w:p w14:paraId="483993E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半年</w:t>
      </w:r>
    </w:p>
    <w:p w14:paraId="4C50D49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1年</w:t>
      </w:r>
    </w:p>
    <w:p w14:paraId="723D451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2年</w:t>
      </w:r>
    </w:p>
    <w:p w14:paraId="43722B6E">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3年</w:t>
      </w:r>
    </w:p>
    <w:p w14:paraId="4A10F172">
      <w:pPr>
        <w:widowControl/>
        <w:spacing w:before="100" w:beforeAutospacing="1" w:after="100" w:afterAutospacing="1"/>
        <w:contextualSpacing/>
        <w:jc w:val="left"/>
        <w:rPr>
          <w:rFonts w:hint="eastAsia" w:cs="宋体" w:asciiTheme="minorEastAsia" w:hAnsiTheme="minorEastAsia"/>
          <w:color w:val="000000"/>
          <w:kern w:val="0"/>
        </w:rPr>
      </w:pPr>
    </w:p>
    <w:p w14:paraId="620921E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6、</w:t>
      </w:r>
      <w:r>
        <w:rPr>
          <w:rFonts w:hint="eastAsia" w:cs="宋体" w:asciiTheme="minorEastAsia" w:hAnsiTheme="minorEastAsia"/>
          <w:color w:val="000000"/>
          <w:kern w:val="0"/>
          <w:lang w:val="en-US" w:eastAsia="zh-CN"/>
        </w:rPr>
        <w:t>下面选项中，（）不属于大宗商品</w:t>
      </w:r>
      <w:r>
        <w:rPr>
          <w:rFonts w:cs="宋体" w:asciiTheme="minorEastAsia" w:hAnsiTheme="minorEastAsia"/>
          <w:color w:val="000000"/>
          <w:kern w:val="0"/>
        </w:rPr>
        <w:t>：</w:t>
      </w:r>
    </w:p>
    <w:p w14:paraId="070CD339">
      <w:pPr>
        <w:widowControl/>
        <w:spacing w:before="100" w:beforeAutospacing="1" w:after="100" w:afterAutospacing="1"/>
        <w:contextualSpacing/>
        <w:jc w:val="left"/>
        <w:rPr>
          <w:rFonts w:hint="eastAsia" w:eastAsia="宋体" w:cs="宋体" w:asciiTheme="minorEastAsia" w:hAnsiTheme="minorEastAsia"/>
          <w:color w:val="000000"/>
          <w:kern w:val="0"/>
          <w:lang w:eastAsia="zh-CN"/>
        </w:rPr>
      </w:pPr>
      <w:r>
        <w:rPr>
          <w:rFonts w:cs="宋体" w:asciiTheme="minorEastAsia" w:hAnsiTheme="minorEastAsia"/>
          <w:color w:val="000000"/>
          <w:kern w:val="0"/>
        </w:rPr>
        <w:t xml:space="preserve">A. </w:t>
      </w:r>
      <w:r>
        <w:rPr>
          <w:rFonts w:hint="eastAsia" w:cs="宋体" w:asciiTheme="minorEastAsia" w:hAnsiTheme="minorEastAsia"/>
          <w:color w:val="000000"/>
          <w:kern w:val="0"/>
          <w:lang w:val="en-US" w:eastAsia="zh-CN"/>
        </w:rPr>
        <w:t>铜</w:t>
      </w:r>
    </w:p>
    <w:p w14:paraId="6D1E69B4">
      <w:pPr>
        <w:widowControl/>
        <w:spacing w:before="100" w:beforeAutospacing="1" w:after="100" w:afterAutospacing="1"/>
        <w:contextualSpacing/>
        <w:jc w:val="left"/>
        <w:rPr>
          <w:rFonts w:hint="default" w:eastAsia="宋体" w:cs="宋体" w:asciiTheme="minorEastAsia" w:hAnsiTheme="minorEastAsia"/>
          <w:color w:val="000000"/>
          <w:kern w:val="0"/>
          <w:lang w:val="en-US" w:eastAsia="zh-CN"/>
        </w:rPr>
      </w:pPr>
      <w:r>
        <w:rPr>
          <w:rFonts w:cs="宋体" w:asciiTheme="minorEastAsia" w:hAnsiTheme="minorEastAsia"/>
          <w:color w:val="000000"/>
          <w:kern w:val="0"/>
        </w:rPr>
        <w:t xml:space="preserve">B. </w:t>
      </w:r>
      <w:r>
        <w:rPr>
          <w:rFonts w:hint="eastAsia" w:cs="宋体" w:asciiTheme="minorEastAsia" w:hAnsiTheme="minorEastAsia"/>
          <w:color w:val="000000"/>
          <w:kern w:val="0"/>
          <w:lang w:val="en-US" w:eastAsia="zh-CN"/>
        </w:rPr>
        <w:t>铜矿公司股票</w:t>
      </w:r>
    </w:p>
    <w:p w14:paraId="69D2333E">
      <w:pPr>
        <w:widowControl/>
        <w:spacing w:before="100" w:beforeAutospacing="1" w:after="100" w:afterAutospacing="1"/>
        <w:contextualSpacing/>
        <w:jc w:val="left"/>
        <w:rPr>
          <w:rFonts w:hint="eastAsia" w:eastAsia="宋体" w:cs="宋体" w:asciiTheme="minorEastAsia" w:hAnsiTheme="minorEastAsia"/>
          <w:color w:val="000000"/>
          <w:kern w:val="0"/>
          <w:lang w:eastAsia="zh-CN"/>
        </w:rPr>
      </w:pPr>
      <w:r>
        <w:rPr>
          <w:rFonts w:cs="宋体" w:asciiTheme="minorEastAsia" w:hAnsiTheme="minorEastAsia"/>
          <w:color w:val="000000"/>
          <w:kern w:val="0"/>
        </w:rPr>
        <w:t xml:space="preserve">C. </w:t>
      </w:r>
      <w:r>
        <w:rPr>
          <w:rFonts w:hint="eastAsia" w:cs="宋体" w:asciiTheme="minorEastAsia" w:hAnsiTheme="minorEastAsia"/>
          <w:color w:val="000000"/>
          <w:kern w:val="0"/>
          <w:lang w:val="en-US" w:eastAsia="zh-CN"/>
        </w:rPr>
        <w:t>石油</w:t>
      </w:r>
    </w:p>
    <w:p w14:paraId="56E36817">
      <w:pPr>
        <w:widowControl/>
        <w:spacing w:before="100" w:beforeAutospacing="1" w:after="100" w:afterAutospacing="1"/>
        <w:contextualSpacing/>
        <w:jc w:val="left"/>
        <w:rPr>
          <w:rFonts w:hint="eastAsia" w:cs="宋体" w:asciiTheme="minorEastAsia" w:hAnsiTheme="minorEastAsia"/>
          <w:color w:val="000000"/>
          <w:kern w:val="0"/>
          <w:lang w:val="en-US" w:eastAsia="zh-CN"/>
        </w:rPr>
      </w:pPr>
      <w:r>
        <w:rPr>
          <w:rFonts w:cs="宋体" w:asciiTheme="minorEastAsia" w:hAnsiTheme="minorEastAsia"/>
          <w:color w:val="000000"/>
          <w:kern w:val="0"/>
        </w:rPr>
        <w:t xml:space="preserve">D. </w:t>
      </w:r>
      <w:r>
        <w:rPr>
          <w:rFonts w:hint="eastAsia" w:cs="宋体" w:asciiTheme="minorEastAsia" w:hAnsiTheme="minorEastAsia"/>
          <w:color w:val="000000"/>
          <w:kern w:val="0"/>
          <w:lang w:val="en-US" w:eastAsia="zh-CN"/>
        </w:rPr>
        <w:t>铝</w:t>
      </w:r>
    </w:p>
    <w:p w14:paraId="43CE79F3">
      <w:pPr>
        <w:widowControl/>
        <w:spacing w:before="100" w:beforeAutospacing="1" w:after="100" w:afterAutospacing="1"/>
        <w:contextualSpacing/>
        <w:jc w:val="left"/>
        <w:rPr>
          <w:rFonts w:hint="eastAsia" w:cs="宋体" w:asciiTheme="minorEastAsia" w:hAnsiTheme="minorEastAsia"/>
          <w:color w:val="000000"/>
          <w:kern w:val="0"/>
          <w:lang w:val="en-US" w:eastAsia="zh-CN"/>
        </w:rPr>
      </w:pPr>
    </w:p>
    <w:p w14:paraId="5CBFF217">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7、</w:t>
      </w:r>
      <w:r>
        <w:rPr>
          <w:rFonts w:cs="宋体" w:asciiTheme="minorEastAsia" w:hAnsiTheme="minorEastAsia"/>
          <w:color w:val="000000"/>
          <w:kern w:val="0"/>
        </w:rPr>
        <w:t>下列关于可转换债券的论述正确的是（</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D7480F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可转换期越长，债券价值越小</w:t>
      </w:r>
    </w:p>
    <w:p w14:paraId="4E1165C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可转换的股票的流动性越强，可转换债券的价值越高</w:t>
      </w:r>
    </w:p>
    <w:p w14:paraId="5B9F93B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股票的红利收益与债券到期收益差距越小，可转换债券的价值越高</w:t>
      </w:r>
    </w:p>
    <w:p w14:paraId="3A2C90E9">
      <w:pPr>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可转换债券的担保条件是可转换债券比股票更具吸引力的原因之一</w:t>
      </w:r>
    </w:p>
    <w:p w14:paraId="282C494E">
      <w:pPr>
        <w:spacing w:before="100" w:beforeAutospacing="1" w:after="100" w:afterAutospacing="1"/>
        <w:contextualSpacing/>
        <w:jc w:val="left"/>
        <w:rPr>
          <w:rFonts w:cs="宋体" w:asciiTheme="minorEastAsia" w:hAnsiTheme="minorEastAsia"/>
          <w:color w:val="000000"/>
          <w:kern w:val="0"/>
        </w:rPr>
      </w:pPr>
    </w:p>
    <w:p w14:paraId="149ADC0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8、</w:t>
      </w:r>
      <w:r>
        <w:rPr>
          <w:rFonts w:cs="宋体" w:asciiTheme="minorEastAsia" w:hAnsiTheme="minorEastAsia"/>
          <w:color w:val="000000"/>
          <w:kern w:val="0"/>
        </w:rPr>
        <w:t>一般来说，债券的期限越长，流动性溢价（</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45D92EC1">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越大</w:t>
      </w:r>
    </w:p>
    <w:p w14:paraId="6612020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越小</w:t>
      </w:r>
    </w:p>
    <w:p w14:paraId="2051728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不变</w:t>
      </w:r>
    </w:p>
    <w:p w14:paraId="4CE4164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不确定</w:t>
      </w:r>
    </w:p>
    <w:p w14:paraId="0D92A697">
      <w:pPr>
        <w:widowControl/>
        <w:spacing w:before="100" w:beforeAutospacing="1" w:after="100" w:afterAutospacing="1"/>
        <w:contextualSpacing/>
        <w:jc w:val="left"/>
        <w:rPr>
          <w:rFonts w:cs="宋体" w:asciiTheme="minorEastAsia" w:hAnsiTheme="minorEastAsia"/>
          <w:color w:val="000000"/>
          <w:kern w:val="0"/>
        </w:rPr>
      </w:pPr>
    </w:p>
    <w:p w14:paraId="3AB98E2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9、</w:t>
      </w:r>
      <w:r>
        <w:rPr>
          <w:rFonts w:cs="宋体" w:asciiTheme="minorEastAsia" w:hAnsiTheme="minorEastAsia"/>
          <w:color w:val="000000"/>
          <w:kern w:val="0"/>
        </w:rPr>
        <w:t>港股每日的最大涨跌幅度为（</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18F780E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5%</w:t>
      </w:r>
    </w:p>
    <w:p w14:paraId="43E615D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10%</w:t>
      </w:r>
    </w:p>
    <w:p w14:paraId="2FB12CA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30%</w:t>
      </w:r>
    </w:p>
    <w:p w14:paraId="310BB76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不设涨跌幅限制</w:t>
      </w:r>
    </w:p>
    <w:p w14:paraId="0BB76B2D">
      <w:pPr>
        <w:widowControl/>
        <w:spacing w:before="100" w:beforeAutospacing="1" w:after="100" w:afterAutospacing="1"/>
        <w:contextualSpacing/>
        <w:jc w:val="left"/>
        <w:rPr>
          <w:rFonts w:cs="宋体" w:asciiTheme="minorEastAsia" w:hAnsiTheme="minorEastAsia"/>
          <w:color w:val="000000"/>
          <w:kern w:val="0"/>
        </w:rPr>
      </w:pPr>
    </w:p>
    <w:p w14:paraId="70D3F88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10、</w:t>
      </w:r>
      <w:r>
        <w:rPr>
          <w:rFonts w:cs="宋体" w:asciiTheme="minorEastAsia" w:hAnsiTheme="minorEastAsia"/>
          <w:color w:val="000000"/>
          <w:kern w:val="0"/>
        </w:rPr>
        <w:t>因港股通于交易成交后</w:t>
      </w:r>
      <w:r>
        <w:rPr>
          <w:rFonts w:hint="eastAsia" w:cs="宋体" w:asciiTheme="minorEastAsia" w:hAnsiTheme="minorEastAsia"/>
          <w:color w:val="000000"/>
          <w:kern w:val="0"/>
        </w:rPr>
        <w:t>T+2日交收，下列说法正确的是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79943E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买入的股票，在交收前不享有上市公司分派的权益</w:t>
      </w:r>
    </w:p>
    <w:p w14:paraId="55056BF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买入的股票，立即享有上市公司分派的权益</w:t>
      </w:r>
    </w:p>
    <w:p w14:paraId="08C1EC7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卖出的股票，在交收后仍享有上市公司分派的权益</w:t>
      </w:r>
    </w:p>
    <w:p w14:paraId="56F32EE8">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卖出的股票，立即不享有上市公司分派的权益</w:t>
      </w:r>
    </w:p>
    <w:p w14:paraId="432F9D1C">
      <w:pPr>
        <w:widowControl/>
        <w:spacing w:before="100" w:beforeAutospacing="1" w:after="100" w:afterAutospacing="1"/>
        <w:contextualSpacing/>
        <w:jc w:val="left"/>
        <w:rPr>
          <w:rFonts w:hint="eastAsia" w:cs="宋体" w:asciiTheme="minorEastAsia" w:hAnsiTheme="minorEastAsia"/>
          <w:color w:val="000000"/>
          <w:kern w:val="0"/>
        </w:rPr>
      </w:pPr>
    </w:p>
    <w:p w14:paraId="56B109BD">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11、</w:t>
      </w:r>
      <w:r>
        <w:rPr>
          <w:rFonts w:cs="宋体" w:asciiTheme="minorEastAsia" w:hAnsiTheme="minorEastAsia"/>
          <w:color w:val="000000"/>
          <w:kern w:val="0"/>
        </w:rPr>
        <w:t>有关融资融券，担保物追加不足的后果有哪些（</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4244BC1B">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w:t>
      </w:r>
      <w:r>
        <w:rPr>
          <w:rFonts w:hint="eastAsia" w:cs="宋体" w:asciiTheme="minorEastAsia" w:hAnsiTheme="minorEastAsia"/>
          <w:color w:val="000000"/>
          <w:kern w:val="0"/>
        </w:rPr>
        <w:t xml:space="preserve"> 强制平仓</w:t>
      </w:r>
    </w:p>
    <w:p w14:paraId="276B450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客户信用等级降低</w:t>
      </w:r>
    </w:p>
    <w:p w14:paraId="7242974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债务追索</w:t>
      </w:r>
    </w:p>
    <w:p w14:paraId="47E89F5E">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司法诉讼</w:t>
      </w:r>
    </w:p>
    <w:p w14:paraId="3D4CC887">
      <w:pPr>
        <w:widowControl/>
        <w:spacing w:before="100" w:beforeAutospacing="1" w:after="100" w:afterAutospacing="1"/>
        <w:contextualSpacing/>
        <w:jc w:val="left"/>
        <w:rPr>
          <w:rFonts w:hint="eastAsia" w:cs="宋体" w:asciiTheme="minorEastAsia" w:hAnsiTheme="minorEastAsia"/>
          <w:color w:val="000000"/>
          <w:kern w:val="0"/>
        </w:rPr>
      </w:pPr>
    </w:p>
    <w:p w14:paraId="7BEB58C4">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12、</w:t>
      </w:r>
      <w:r>
        <w:rPr>
          <w:rFonts w:cs="宋体" w:asciiTheme="minorEastAsia" w:hAnsiTheme="minorEastAsia"/>
          <w:color w:val="000000"/>
          <w:kern w:val="0"/>
        </w:rPr>
        <w:t>投资者信用账户存在</w:t>
      </w:r>
      <w:r>
        <w:rPr>
          <w:rFonts w:hint="eastAsia" w:cs="宋体" w:asciiTheme="minorEastAsia" w:hAnsiTheme="minorEastAsia"/>
          <w:color w:val="000000"/>
          <w:kern w:val="0"/>
        </w:rPr>
        <w:t>未</w:t>
      </w:r>
      <w:r>
        <w:rPr>
          <w:rFonts w:cs="宋体" w:asciiTheme="minorEastAsia" w:hAnsiTheme="minorEastAsia"/>
          <w:color w:val="000000"/>
          <w:kern w:val="0"/>
        </w:rPr>
        <w:t>了结的融资融券交易时，投资者可以申请划转保证金可用余额中的现金或充抵保证金的证券到普通证券账户，但划转后维持担保比例不得低于（</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D0C303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300%</w:t>
      </w:r>
    </w:p>
    <w:p w14:paraId="0957E25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200%</w:t>
      </w:r>
    </w:p>
    <w:p w14:paraId="4501F32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150%</w:t>
      </w:r>
    </w:p>
    <w:p w14:paraId="23D78866">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130%</w:t>
      </w:r>
    </w:p>
    <w:p w14:paraId="48534D81">
      <w:pPr>
        <w:widowControl/>
        <w:spacing w:before="100" w:beforeAutospacing="1" w:after="100" w:afterAutospacing="1"/>
        <w:contextualSpacing/>
        <w:jc w:val="left"/>
        <w:rPr>
          <w:rFonts w:hint="eastAsia" w:cs="宋体" w:asciiTheme="minorEastAsia" w:hAnsiTheme="minorEastAsia"/>
          <w:color w:val="000000"/>
          <w:kern w:val="0"/>
        </w:rPr>
      </w:pPr>
    </w:p>
    <w:p w14:paraId="75260B81">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13、根据现代组合理论，能够反映投资组合风险大小的定量指标，除了组合方差外，还有</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2D73FFF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贝塔系数</w:t>
      </w:r>
    </w:p>
    <w:p w14:paraId="076B769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期望值</w:t>
      </w:r>
    </w:p>
    <w:p w14:paraId="777C43F1">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权重</w:t>
      </w:r>
    </w:p>
    <w:p w14:paraId="34EA0922">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协方差</w:t>
      </w:r>
    </w:p>
    <w:p w14:paraId="50A47A61">
      <w:pPr>
        <w:widowControl/>
        <w:spacing w:before="100" w:beforeAutospacing="1" w:after="100" w:afterAutospacing="1"/>
        <w:contextualSpacing/>
        <w:jc w:val="left"/>
        <w:rPr>
          <w:rFonts w:hint="eastAsia" w:cs="宋体" w:asciiTheme="minorEastAsia" w:hAnsiTheme="minorEastAsia"/>
          <w:color w:val="000000"/>
          <w:kern w:val="0"/>
        </w:rPr>
      </w:pPr>
    </w:p>
    <w:p w14:paraId="60DA323A">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14、投资者在强趋势的市场中的最优策略为</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177149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买入并持有策略</w:t>
      </w:r>
    </w:p>
    <w:p w14:paraId="2C59373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恒定混合策略</w:t>
      </w:r>
    </w:p>
    <w:p w14:paraId="66353F0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投资组合保险策略</w:t>
      </w:r>
    </w:p>
    <w:p w14:paraId="739E0B9E">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战术性策略</w:t>
      </w:r>
    </w:p>
    <w:p w14:paraId="492D22F1">
      <w:pPr>
        <w:widowControl/>
        <w:spacing w:before="100" w:beforeAutospacing="1" w:after="100" w:afterAutospacing="1"/>
        <w:contextualSpacing/>
        <w:jc w:val="left"/>
        <w:rPr>
          <w:rFonts w:hint="eastAsia" w:cs="宋体" w:asciiTheme="minorEastAsia" w:hAnsiTheme="minorEastAsia"/>
          <w:color w:val="000000"/>
          <w:kern w:val="0"/>
        </w:rPr>
      </w:pPr>
    </w:p>
    <w:p w14:paraId="3E88A8A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15、下列关于看涨期权的说法，不正确的是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B535F7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有效期越长，时间价值越高</w:t>
      </w:r>
    </w:p>
    <w:p w14:paraId="2F26119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标的物价格波动率越高，期权价格越高</w:t>
      </w:r>
    </w:p>
    <w:p w14:paraId="093FA9F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市场价格高于执行价格越多，期权内涵价值越高</w:t>
      </w:r>
    </w:p>
    <w:p w14:paraId="09805899">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执行价格越低，时间价值越高</w:t>
      </w:r>
    </w:p>
    <w:p w14:paraId="3A87466A">
      <w:pPr>
        <w:widowControl/>
        <w:spacing w:before="100" w:beforeAutospacing="1" w:after="100" w:afterAutospacing="1"/>
        <w:contextualSpacing/>
        <w:jc w:val="left"/>
        <w:rPr>
          <w:rFonts w:hint="eastAsia" w:cs="宋体" w:asciiTheme="minorEastAsia" w:hAnsiTheme="minorEastAsia"/>
          <w:color w:val="000000"/>
          <w:kern w:val="0"/>
        </w:rPr>
      </w:pPr>
    </w:p>
    <w:p w14:paraId="58D10E53">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16、看涨期权的买方要想通过对冲平仓了结在手的合约，需要</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7090CA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买入看涨期权</w:t>
      </w:r>
    </w:p>
    <w:p w14:paraId="57224D0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卖出看涨期权</w:t>
      </w:r>
    </w:p>
    <w:p w14:paraId="00CC35F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买入看跌期权</w:t>
      </w:r>
    </w:p>
    <w:p w14:paraId="4994F55A">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卖出看跌期权</w:t>
      </w:r>
    </w:p>
    <w:p w14:paraId="56C42D8D">
      <w:pPr>
        <w:widowControl/>
        <w:spacing w:before="100" w:beforeAutospacing="1" w:after="100" w:afterAutospacing="1"/>
        <w:contextualSpacing/>
        <w:jc w:val="left"/>
        <w:rPr>
          <w:rFonts w:hint="eastAsia" w:cs="宋体" w:asciiTheme="minorEastAsia" w:hAnsiTheme="minorEastAsia"/>
          <w:color w:val="000000"/>
          <w:kern w:val="0"/>
        </w:rPr>
      </w:pPr>
    </w:p>
    <w:p w14:paraId="25080B50">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17、下列对ETF基金份额申购赎回的说法正确的是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28F5F4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申购、赎回ETF基金份额采用金额申购、份额赎回的方式</w:t>
      </w:r>
    </w:p>
    <w:p w14:paraId="0679DA1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一般最小申购、赎回单位为100万份</w:t>
      </w:r>
    </w:p>
    <w:p w14:paraId="6267900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投资者申购、赎回的基金份额须为最小申购、赎回单位的整数倍</w:t>
      </w:r>
    </w:p>
    <w:p w14:paraId="18C52E99">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申购、赎回申请提交后可以撤销</w:t>
      </w:r>
    </w:p>
    <w:p w14:paraId="4EF9E4C3">
      <w:pPr>
        <w:widowControl/>
        <w:spacing w:before="100" w:beforeAutospacing="1" w:after="100" w:afterAutospacing="1"/>
        <w:contextualSpacing/>
        <w:jc w:val="left"/>
        <w:rPr>
          <w:rFonts w:hint="eastAsia" w:cs="宋体" w:asciiTheme="minorEastAsia" w:hAnsiTheme="minorEastAsia"/>
          <w:color w:val="000000"/>
          <w:kern w:val="0"/>
        </w:rPr>
      </w:pPr>
    </w:p>
    <w:p w14:paraId="64B618D1">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18、以下有价证券的流动性最低的是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640ED7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ETF</w:t>
      </w:r>
    </w:p>
    <w:p w14:paraId="7BE12A3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LOF</w:t>
      </w:r>
    </w:p>
    <w:p w14:paraId="2B340AF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记账式国债</w:t>
      </w:r>
    </w:p>
    <w:p w14:paraId="48B466CC">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凭证式国债</w:t>
      </w:r>
    </w:p>
    <w:p w14:paraId="10CB4D9A">
      <w:pPr>
        <w:widowControl/>
        <w:spacing w:before="100" w:beforeAutospacing="1" w:after="100" w:afterAutospacing="1"/>
        <w:contextualSpacing/>
        <w:jc w:val="left"/>
        <w:rPr>
          <w:rFonts w:hint="eastAsia" w:cs="宋体" w:asciiTheme="minorEastAsia" w:hAnsiTheme="minorEastAsia"/>
          <w:color w:val="000000"/>
          <w:kern w:val="0"/>
        </w:rPr>
      </w:pPr>
    </w:p>
    <w:p w14:paraId="55A7F8BC">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19、有关私募基金的特点表述，不正确的是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5399AA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投资者的投资金额要求高</w:t>
      </w:r>
    </w:p>
    <w:p w14:paraId="4A9502F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运作灵活，受到的限制与约束较少</w:t>
      </w:r>
    </w:p>
    <w:p w14:paraId="104C64B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投资风险较小</w:t>
      </w:r>
    </w:p>
    <w:p w14:paraId="4D148180">
      <w:pPr>
        <w:widowControl/>
        <w:spacing w:before="100" w:beforeAutospacing="1" w:after="100" w:afterAutospacing="1"/>
        <w:contextualSpacing/>
        <w:jc w:val="left"/>
        <w:rPr>
          <w:rFonts w:hint="eastAsia"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主要以富裕阶层为目标客户</w:t>
      </w:r>
    </w:p>
    <w:p w14:paraId="3B94C6EF">
      <w:pPr>
        <w:widowControl/>
        <w:spacing w:before="100" w:beforeAutospacing="1" w:after="100" w:afterAutospacing="1"/>
        <w:contextualSpacing/>
        <w:jc w:val="left"/>
        <w:rPr>
          <w:rFonts w:hint="eastAsia" w:cs="宋体" w:asciiTheme="minorEastAsia" w:hAnsiTheme="minorEastAsia"/>
          <w:color w:val="000000"/>
          <w:kern w:val="0"/>
        </w:rPr>
      </w:pPr>
      <w:bookmarkStart w:id="0" w:name="_GoBack"/>
      <w:bookmarkEnd w:id="0"/>
    </w:p>
    <w:p w14:paraId="1422A0C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20、适合入选收入型组合的证券有</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D46431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高收益的普通股</w:t>
      </w:r>
    </w:p>
    <w:p w14:paraId="10D99D4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优先股</w:t>
      </w:r>
    </w:p>
    <w:p w14:paraId="3049BC6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高派息风险的普通股</w:t>
      </w:r>
    </w:p>
    <w:p w14:paraId="15FBA04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低派息、股价涨幅较大的普通股</w:t>
      </w:r>
    </w:p>
    <w:p w14:paraId="67B47C16">
      <w:pPr>
        <w:widowControl/>
        <w:spacing w:before="100" w:beforeAutospacing="1" w:after="100" w:afterAutospacing="1"/>
        <w:contextualSpacing/>
        <w:jc w:val="left"/>
        <w:rPr>
          <w:rFonts w:cs="宋体" w:asciiTheme="minorEastAsia" w:hAnsiTheme="minorEastAsia"/>
          <w:color w:val="000000"/>
          <w:kern w:val="0"/>
        </w:rPr>
      </w:pPr>
    </w:p>
    <w:p w14:paraId="6D1FA309">
      <w:pPr>
        <w:widowControl/>
        <w:spacing w:before="100" w:beforeAutospacing="1" w:after="100" w:afterAutospacing="1"/>
        <w:contextualSpacing/>
        <w:jc w:val="left"/>
        <w:rPr>
          <w:rFonts w:asciiTheme="minorEastAsia" w:hAnsiTheme="minorEastAsia"/>
          <w:b w:val="0"/>
          <w:sz w:val="28"/>
          <w:szCs w:val="28"/>
        </w:rPr>
      </w:pPr>
    </w:p>
    <w:p w14:paraId="3B962286">
      <w:pPr>
        <w:widowControl/>
        <w:spacing w:before="100" w:beforeAutospacing="1" w:after="100" w:afterAutospacing="1"/>
        <w:contextualSpacing/>
        <w:jc w:val="left"/>
        <w:rPr>
          <w:rFonts w:hint="default" w:eastAsia="宋体" w:asciiTheme="minorEastAsia" w:hAnsiTheme="minorEastAsia"/>
          <w:sz w:val="28"/>
          <w:szCs w:val="28"/>
          <w:lang w:val="en-US" w:eastAsia="zh-CN"/>
        </w:rPr>
      </w:pPr>
      <w:r>
        <w:rPr>
          <w:rFonts w:hint="eastAsia" w:asciiTheme="minorEastAsia" w:hAnsiTheme="minorEastAsia"/>
          <w:sz w:val="28"/>
          <w:szCs w:val="28"/>
        </w:rPr>
        <w:t xml:space="preserve">  客户签字：</w:t>
      </w:r>
      <w:r>
        <w:rPr>
          <w:rFonts w:hint="eastAsia" w:asciiTheme="minorEastAsia" w:hAnsiTheme="minorEastAsia"/>
          <w:sz w:val="28"/>
          <w:szCs w:val="28"/>
          <w:lang w:val="en-US" w:eastAsia="zh-CN"/>
        </w:rPr>
        <w:t xml:space="preserve">                  日期：     年    月    日</w:t>
      </w:r>
    </w:p>
    <w:p w14:paraId="1B3CEB09">
      <w:pPr>
        <w:widowControl/>
        <w:spacing w:before="100" w:beforeAutospacing="1" w:after="100" w:afterAutospacing="1"/>
        <w:contextualSpacing/>
        <w:jc w:val="left"/>
        <w:rPr>
          <w:rFonts w:cs="仿宋_GB2312" w:asciiTheme="minorEastAsia" w:hAnsiTheme="minorEastAsia" w:eastAsiaTheme="minorEastAsia"/>
          <w:b w:val="0"/>
          <w:kern w:val="0"/>
        </w:rPr>
      </w:pPr>
    </w:p>
    <w:sectPr>
      <w:headerReference r:id="rId3" w:type="default"/>
      <w:footerReference r:id="rId4" w:type="default"/>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3688"/>
    </w:sdtPr>
    <w:sdtContent>
      <w:p w14:paraId="624DC709">
        <w:pPr>
          <w:pStyle w:val="6"/>
          <w:ind w:left="482"/>
          <w:jc w:val="center"/>
        </w:pPr>
        <w:r>
          <w:fldChar w:fldCharType="begin"/>
        </w:r>
        <w:r>
          <w:instrText xml:space="preserve"> PAGE   \* MERGEFORMAT </w:instrText>
        </w:r>
        <w:r>
          <w:fldChar w:fldCharType="separate"/>
        </w:r>
        <w:r>
          <w:rPr>
            <w:lang w:val="zh-CN"/>
          </w:rPr>
          <w:t>3</w:t>
        </w:r>
        <w:r>
          <w:rPr>
            <w:lang w:val="zh-CN"/>
          </w:rPr>
          <w:fldChar w:fldCharType="end"/>
        </w:r>
      </w:p>
    </w:sdtContent>
  </w:sdt>
  <w:p w14:paraId="38D8695C">
    <w:pPr>
      <w:pStyle w:val="6"/>
      <w:ind w:left="48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F9C31">
    <w:pPr>
      <w:pStyle w:val="7"/>
      <w:jc w:val="both"/>
    </w:pPr>
    <w:r>
      <w:rPr>
        <w:rFonts w:hint="eastAsia" w:eastAsia="宋体"/>
        <w:lang w:eastAsia="zh-CN"/>
      </w:rPr>
      <w:drawing>
        <wp:inline distT="0" distB="0" distL="114300" distR="114300">
          <wp:extent cx="1200785" cy="225425"/>
          <wp:effectExtent l="0" t="0" r="57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61"/>
    <w:rsid w:val="0000167C"/>
    <w:rsid w:val="00006601"/>
    <w:rsid w:val="00007324"/>
    <w:rsid w:val="00007812"/>
    <w:rsid w:val="00010781"/>
    <w:rsid w:val="0001401B"/>
    <w:rsid w:val="000238EC"/>
    <w:rsid w:val="000264B0"/>
    <w:rsid w:val="00026C38"/>
    <w:rsid w:val="00026E50"/>
    <w:rsid w:val="00042CA1"/>
    <w:rsid w:val="00047DDE"/>
    <w:rsid w:val="00052C1F"/>
    <w:rsid w:val="000532DB"/>
    <w:rsid w:val="0005520E"/>
    <w:rsid w:val="00061483"/>
    <w:rsid w:val="0006202B"/>
    <w:rsid w:val="000622DA"/>
    <w:rsid w:val="00076B26"/>
    <w:rsid w:val="00080534"/>
    <w:rsid w:val="00083409"/>
    <w:rsid w:val="00084FDB"/>
    <w:rsid w:val="00091634"/>
    <w:rsid w:val="000975C9"/>
    <w:rsid w:val="000A15B3"/>
    <w:rsid w:val="000A162A"/>
    <w:rsid w:val="000A26B4"/>
    <w:rsid w:val="000A453E"/>
    <w:rsid w:val="000B0761"/>
    <w:rsid w:val="000B1EEE"/>
    <w:rsid w:val="000B64CD"/>
    <w:rsid w:val="000C398D"/>
    <w:rsid w:val="000E2F3E"/>
    <w:rsid w:val="000E4C7B"/>
    <w:rsid w:val="000E751D"/>
    <w:rsid w:val="000F0E10"/>
    <w:rsid w:val="000F168C"/>
    <w:rsid w:val="000F5669"/>
    <w:rsid w:val="00113F57"/>
    <w:rsid w:val="00121BD5"/>
    <w:rsid w:val="00122FD9"/>
    <w:rsid w:val="00123DF1"/>
    <w:rsid w:val="00132247"/>
    <w:rsid w:val="001349A8"/>
    <w:rsid w:val="0015053C"/>
    <w:rsid w:val="001753DF"/>
    <w:rsid w:val="00181658"/>
    <w:rsid w:val="00182C66"/>
    <w:rsid w:val="00185631"/>
    <w:rsid w:val="001856DF"/>
    <w:rsid w:val="001A4A45"/>
    <w:rsid w:val="001B4D09"/>
    <w:rsid w:val="001C3619"/>
    <w:rsid w:val="001C5083"/>
    <w:rsid w:val="001E1E99"/>
    <w:rsid w:val="001F2D01"/>
    <w:rsid w:val="001F7351"/>
    <w:rsid w:val="002013D5"/>
    <w:rsid w:val="0021683F"/>
    <w:rsid w:val="002200D5"/>
    <w:rsid w:val="00220CE6"/>
    <w:rsid w:val="00221CD7"/>
    <w:rsid w:val="002259C8"/>
    <w:rsid w:val="00230DC9"/>
    <w:rsid w:val="0023141F"/>
    <w:rsid w:val="002322E5"/>
    <w:rsid w:val="00237054"/>
    <w:rsid w:val="00245213"/>
    <w:rsid w:val="00245432"/>
    <w:rsid w:val="00252DDA"/>
    <w:rsid w:val="00264E51"/>
    <w:rsid w:val="00275A7C"/>
    <w:rsid w:val="002813B6"/>
    <w:rsid w:val="002816B1"/>
    <w:rsid w:val="00286A51"/>
    <w:rsid w:val="0028784C"/>
    <w:rsid w:val="002A22DE"/>
    <w:rsid w:val="002A6E36"/>
    <w:rsid w:val="002B3064"/>
    <w:rsid w:val="002C4F47"/>
    <w:rsid w:val="002C500E"/>
    <w:rsid w:val="002C6BC5"/>
    <w:rsid w:val="002D2CC5"/>
    <w:rsid w:val="002D5E9A"/>
    <w:rsid w:val="002E35F9"/>
    <w:rsid w:val="002E5F98"/>
    <w:rsid w:val="002F1877"/>
    <w:rsid w:val="002F2838"/>
    <w:rsid w:val="002F6F3A"/>
    <w:rsid w:val="00303875"/>
    <w:rsid w:val="00305250"/>
    <w:rsid w:val="00306E82"/>
    <w:rsid w:val="0030755B"/>
    <w:rsid w:val="00324DBA"/>
    <w:rsid w:val="00327417"/>
    <w:rsid w:val="003400ED"/>
    <w:rsid w:val="00342FDD"/>
    <w:rsid w:val="00352816"/>
    <w:rsid w:val="00355DE9"/>
    <w:rsid w:val="003603B4"/>
    <w:rsid w:val="00361B40"/>
    <w:rsid w:val="003640AE"/>
    <w:rsid w:val="003676C8"/>
    <w:rsid w:val="0037605E"/>
    <w:rsid w:val="003766A2"/>
    <w:rsid w:val="0037696C"/>
    <w:rsid w:val="0038061D"/>
    <w:rsid w:val="00380D7B"/>
    <w:rsid w:val="00383A61"/>
    <w:rsid w:val="003856EC"/>
    <w:rsid w:val="00390AE6"/>
    <w:rsid w:val="00392607"/>
    <w:rsid w:val="0039729B"/>
    <w:rsid w:val="00397864"/>
    <w:rsid w:val="003A27F1"/>
    <w:rsid w:val="003A5A6B"/>
    <w:rsid w:val="003B20EC"/>
    <w:rsid w:val="003B2268"/>
    <w:rsid w:val="003C3CA0"/>
    <w:rsid w:val="003D0FF4"/>
    <w:rsid w:val="003D1D05"/>
    <w:rsid w:val="003D27CF"/>
    <w:rsid w:val="003F1C9B"/>
    <w:rsid w:val="003F5FAC"/>
    <w:rsid w:val="003F63FB"/>
    <w:rsid w:val="003F784C"/>
    <w:rsid w:val="00404255"/>
    <w:rsid w:val="0041200C"/>
    <w:rsid w:val="004136ED"/>
    <w:rsid w:val="004153A4"/>
    <w:rsid w:val="0043074C"/>
    <w:rsid w:val="00437E45"/>
    <w:rsid w:val="004440CB"/>
    <w:rsid w:val="004442EA"/>
    <w:rsid w:val="004648E6"/>
    <w:rsid w:val="00466800"/>
    <w:rsid w:val="00471EFE"/>
    <w:rsid w:val="004807F5"/>
    <w:rsid w:val="00484239"/>
    <w:rsid w:val="00486D88"/>
    <w:rsid w:val="004904D5"/>
    <w:rsid w:val="004910C0"/>
    <w:rsid w:val="00491147"/>
    <w:rsid w:val="004A186C"/>
    <w:rsid w:val="004A6731"/>
    <w:rsid w:val="004B1DB6"/>
    <w:rsid w:val="004B60C0"/>
    <w:rsid w:val="004B6A19"/>
    <w:rsid w:val="004C315E"/>
    <w:rsid w:val="004C3794"/>
    <w:rsid w:val="004D22F6"/>
    <w:rsid w:val="004D426C"/>
    <w:rsid w:val="004E0B80"/>
    <w:rsid w:val="004E4B30"/>
    <w:rsid w:val="004E5F95"/>
    <w:rsid w:val="004F31E6"/>
    <w:rsid w:val="00500EF4"/>
    <w:rsid w:val="00501C27"/>
    <w:rsid w:val="0050381E"/>
    <w:rsid w:val="00520EE9"/>
    <w:rsid w:val="0052171D"/>
    <w:rsid w:val="00522344"/>
    <w:rsid w:val="00542573"/>
    <w:rsid w:val="00544D4C"/>
    <w:rsid w:val="00546E60"/>
    <w:rsid w:val="00547F02"/>
    <w:rsid w:val="00551DC5"/>
    <w:rsid w:val="00561C1A"/>
    <w:rsid w:val="00566E20"/>
    <w:rsid w:val="005761A2"/>
    <w:rsid w:val="0058464C"/>
    <w:rsid w:val="005930D6"/>
    <w:rsid w:val="00597469"/>
    <w:rsid w:val="005978DC"/>
    <w:rsid w:val="005A1175"/>
    <w:rsid w:val="005A21F2"/>
    <w:rsid w:val="005A2357"/>
    <w:rsid w:val="005A2BB2"/>
    <w:rsid w:val="005B31F7"/>
    <w:rsid w:val="005C2907"/>
    <w:rsid w:val="005C6515"/>
    <w:rsid w:val="005F046E"/>
    <w:rsid w:val="005F32C1"/>
    <w:rsid w:val="005F69E1"/>
    <w:rsid w:val="00607931"/>
    <w:rsid w:val="00612548"/>
    <w:rsid w:val="00615B87"/>
    <w:rsid w:val="006411DF"/>
    <w:rsid w:val="006439D6"/>
    <w:rsid w:val="00643EB3"/>
    <w:rsid w:val="00644723"/>
    <w:rsid w:val="00646663"/>
    <w:rsid w:val="00655E3B"/>
    <w:rsid w:val="00666FA1"/>
    <w:rsid w:val="00670351"/>
    <w:rsid w:val="00673D34"/>
    <w:rsid w:val="00674538"/>
    <w:rsid w:val="00676FC9"/>
    <w:rsid w:val="00687595"/>
    <w:rsid w:val="00696460"/>
    <w:rsid w:val="006965CD"/>
    <w:rsid w:val="006B05A8"/>
    <w:rsid w:val="006B0EF8"/>
    <w:rsid w:val="006C66C2"/>
    <w:rsid w:val="006D1DF3"/>
    <w:rsid w:val="006D3B55"/>
    <w:rsid w:val="006E102A"/>
    <w:rsid w:val="006E5C61"/>
    <w:rsid w:val="006F68EA"/>
    <w:rsid w:val="007017DB"/>
    <w:rsid w:val="00701DAA"/>
    <w:rsid w:val="00710068"/>
    <w:rsid w:val="00715305"/>
    <w:rsid w:val="007179A5"/>
    <w:rsid w:val="00742DE1"/>
    <w:rsid w:val="00746929"/>
    <w:rsid w:val="007470E9"/>
    <w:rsid w:val="00753D19"/>
    <w:rsid w:val="007563B5"/>
    <w:rsid w:val="00756D1E"/>
    <w:rsid w:val="00757F12"/>
    <w:rsid w:val="00763501"/>
    <w:rsid w:val="00763C20"/>
    <w:rsid w:val="00763DAA"/>
    <w:rsid w:val="00770C3F"/>
    <w:rsid w:val="007732EE"/>
    <w:rsid w:val="00774646"/>
    <w:rsid w:val="00774677"/>
    <w:rsid w:val="00781AEC"/>
    <w:rsid w:val="00781BAB"/>
    <w:rsid w:val="00783BB3"/>
    <w:rsid w:val="007846E3"/>
    <w:rsid w:val="007848EB"/>
    <w:rsid w:val="00790A1E"/>
    <w:rsid w:val="0079125C"/>
    <w:rsid w:val="007941AB"/>
    <w:rsid w:val="00795F57"/>
    <w:rsid w:val="007A1C09"/>
    <w:rsid w:val="007A28BD"/>
    <w:rsid w:val="007A2A75"/>
    <w:rsid w:val="007C55BC"/>
    <w:rsid w:val="007D18A6"/>
    <w:rsid w:val="007D18F5"/>
    <w:rsid w:val="007E30AD"/>
    <w:rsid w:val="007E6B11"/>
    <w:rsid w:val="007F417E"/>
    <w:rsid w:val="007F4E95"/>
    <w:rsid w:val="00811990"/>
    <w:rsid w:val="0081501D"/>
    <w:rsid w:val="00823AA5"/>
    <w:rsid w:val="0082506E"/>
    <w:rsid w:val="00825177"/>
    <w:rsid w:val="008266A7"/>
    <w:rsid w:val="008310A0"/>
    <w:rsid w:val="00831DA8"/>
    <w:rsid w:val="00835233"/>
    <w:rsid w:val="00835D9C"/>
    <w:rsid w:val="008370EB"/>
    <w:rsid w:val="00840837"/>
    <w:rsid w:val="00842821"/>
    <w:rsid w:val="0084390F"/>
    <w:rsid w:val="0084415E"/>
    <w:rsid w:val="0084466A"/>
    <w:rsid w:val="00845F0B"/>
    <w:rsid w:val="008564DE"/>
    <w:rsid w:val="008568BD"/>
    <w:rsid w:val="00867AC7"/>
    <w:rsid w:val="00874795"/>
    <w:rsid w:val="008765C8"/>
    <w:rsid w:val="008A12AD"/>
    <w:rsid w:val="008A1C9C"/>
    <w:rsid w:val="008A2D61"/>
    <w:rsid w:val="008A49B2"/>
    <w:rsid w:val="008A5276"/>
    <w:rsid w:val="008A7CCB"/>
    <w:rsid w:val="008B46CB"/>
    <w:rsid w:val="008D53BF"/>
    <w:rsid w:val="008D714D"/>
    <w:rsid w:val="008E4589"/>
    <w:rsid w:val="008E4EB4"/>
    <w:rsid w:val="008E5CA4"/>
    <w:rsid w:val="008E69F8"/>
    <w:rsid w:val="008F1123"/>
    <w:rsid w:val="00904060"/>
    <w:rsid w:val="00910A51"/>
    <w:rsid w:val="00912E6F"/>
    <w:rsid w:val="0092493B"/>
    <w:rsid w:val="00930028"/>
    <w:rsid w:val="009333A5"/>
    <w:rsid w:val="00946828"/>
    <w:rsid w:val="00950822"/>
    <w:rsid w:val="009530E1"/>
    <w:rsid w:val="00956A31"/>
    <w:rsid w:val="009622A8"/>
    <w:rsid w:val="00963626"/>
    <w:rsid w:val="00970B01"/>
    <w:rsid w:val="00971F43"/>
    <w:rsid w:val="009749A9"/>
    <w:rsid w:val="00975BEA"/>
    <w:rsid w:val="00975FD5"/>
    <w:rsid w:val="00986C16"/>
    <w:rsid w:val="009900D9"/>
    <w:rsid w:val="00997BB7"/>
    <w:rsid w:val="009A0EDE"/>
    <w:rsid w:val="009A7013"/>
    <w:rsid w:val="009B41F9"/>
    <w:rsid w:val="009D0329"/>
    <w:rsid w:val="009D07FD"/>
    <w:rsid w:val="009D0F95"/>
    <w:rsid w:val="009D2283"/>
    <w:rsid w:val="009D3239"/>
    <w:rsid w:val="009D3CEB"/>
    <w:rsid w:val="009D57F6"/>
    <w:rsid w:val="009E599B"/>
    <w:rsid w:val="009E7DA6"/>
    <w:rsid w:val="009F1701"/>
    <w:rsid w:val="009F3B7F"/>
    <w:rsid w:val="009F6D35"/>
    <w:rsid w:val="00A116B6"/>
    <w:rsid w:val="00A14AAC"/>
    <w:rsid w:val="00A2106A"/>
    <w:rsid w:val="00A31521"/>
    <w:rsid w:val="00A320B0"/>
    <w:rsid w:val="00A32CF4"/>
    <w:rsid w:val="00A3309E"/>
    <w:rsid w:val="00A35E5E"/>
    <w:rsid w:val="00A43808"/>
    <w:rsid w:val="00A44204"/>
    <w:rsid w:val="00A56D16"/>
    <w:rsid w:val="00A611DE"/>
    <w:rsid w:val="00A62CFC"/>
    <w:rsid w:val="00A65DB8"/>
    <w:rsid w:val="00A7049F"/>
    <w:rsid w:val="00A72B12"/>
    <w:rsid w:val="00A7611A"/>
    <w:rsid w:val="00A76790"/>
    <w:rsid w:val="00A810A9"/>
    <w:rsid w:val="00A81BD1"/>
    <w:rsid w:val="00A868E9"/>
    <w:rsid w:val="00A86FFE"/>
    <w:rsid w:val="00A94EA2"/>
    <w:rsid w:val="00AB4EED"/>
    <w:rsid w:val="00AE511E"/>
    <w:rsid w:val="00AF04C7"/>
    <w:rsid w:val="00AF5F39"/>
    <w:rsid w:val="00B04767"/>
    <w:rsid w:val="00B0743D"/>
    <w:rsid w:val="00B11D84"/>
    <w:rsid w:val="00B22D37"/>
    <w:rsid w:val="00B26509"/>
    <w:rsid w:val="00B30CA1"/>
    <w:rsid w:val="00B353CA"/>
    <w:rsid w:val="00B4278B"/>
    <w:rsid w:val="00B43983"/>
    <w:rsid w:val="00B46584"/>
    <w:rsid w:val="00B5310A"/>
    <w:rsid w:val="00B622FA"/>
    <w:rsid w:val="00B62DFA"/>
    <w:rsid w:val="00B74AE4"/>
    <w:rsid w:val="00B774F6"/>
    <w:rsid w:val="00B910B8"/>
    <w:rsid w:val="00B94665"/>
    <w:rsid w:val="00B9572A"/>
    <w:rsid w:val="00B95EED"/>
    <w:rsid w:val="00B97147"/>
    <w:rsid w:val="00BA22C0"/>
    <w:rsid w:val="00BB1818"/>
    <w:rsid w:val="00BB2A9F"/>
    <w:rsid w:val="00BC4055"/>
    <w:rsid w:val="00BD2D88"/>
    <w:rsid w:val="00BD4039"/>
    <w:rsid w:val="00C00964"/>
    <w:rsid w:val="00C10D4C"/>
    <w:rsid w:val="00C11A7C"/>
    <w:rsid w:val="00C2358A"/>
    <w:rsid w:val="00C24AD5"/>
    <w:rsid w:val="00C414A0"/>
    <w:rsid w:val="00C44683"/>
    <w:rsid w:val="00C539AA"/>
    <w:rsid w:val="00C55B0A"/>
    <w:rsid w:val="00C57049"/>
    <w:rsid w:val="00C60705"/>
    <w:rsid w:val="00C6372D"/>
    <w:rsid w:val="00C6427B"/>
    <w:rsid w:val="00C7257C"/>
    <w:rsid w:val="00C7509E"/>
    <w:rsid w:val="00C800A4"/>
    <w:rsid w:val="00C832F1"/>
    <w:rsid w:val="00C8449B"/>
    <w:rsid w:val="00C8724B"/>
    <w:rsid w:val="00C87C89"/>
    <w:rsid w:val="00C924A8"/>
    <w:rsid w:val="00C93D35"/>
    <w:rsid w:val="00CA20FD"/>
    <w:rsid w:val="00CA60A7"/>
    <w:rsid w:val="00CB31B0"/>
    <w:rsid w:val="00CD25CB"/>
    <w:rsid w:val="00CD58B2"/>
    <w:rsid w:val="00CE1B9A"/>
    <w:rsid w:val="00CE6F56"/>
    <w:rsid w:val="00CF1A62"/>
    <w:rsid w:val="00D10773"/>
    <w:rsid w:val="00D120D0"/>
    <w:rsid w:val="00D12970"/>
    <w:rsid w:val="00D2253C"/>
    <w:rsid w:val="00D2375E"/>
    <w:rsid w:val="00D26287"/>
    <w:rsid w:val="00D307BD"/>
    <w:rsid w:val="00D32F07"/>
    <w:rsid w:val="00D35232"/>
    <w:rsid w:val="00D37F5D"/>
    <w:rsid w:val="00D40B57"/>
    <w:rsid w:val="00D44721"/>
    <w:rsid w:val="00D4773B"/>
    <w:rsid w:val="00D54680"/>
    <w:rsid w:val="00D5707D"/>
    <w:rsid w:val="00D66FB3"/>
    <w:rsid w:val="00D738C8"/>
    <w:rsid w:val="00D9096E"/>
    <w:rsid w:val="00D91275"/>
    <w:rsid w:val="00D97729"/>
    <w:rsid w:val="00DA2CDA"/>
    <w:rsid w:val="00DB1099"/>
    <w:rsid w:val="00DB3B49"/>
    <w:rsid w:val="00DB3CFF"/>
    <w:rsid w:val="00DB68F1"/>
    <w:rsid w:val="00DD3D00"/>
    <w:rsid w:val="00DD44AF"/>
    <w:rsid w:val="00DD7139"/>
    <w:rsid w:val="00DE3719"/>
    <w:rsid w:val="00DE54EF"/>
    <w:rsid w:val="00DF44FA"/>
    <w:rsid w:val="00DF4E0E"/>
    <w:rsid w:val="00E23379"/>
    <w:rsid w:val="00E24592"/>
    <w:rsid w:val="00E252C9"/>
    <w:rsid w:val="00E31668"/>
    <w:rsid w:val="00E41428"/>
    <w:rsid w:val="00E41894"/>
    <w:rsid w:val="00E41BA8"/>
    <w:rsid w:val="00E425E8"/>
    <w:rsid w:val="00E44FEE"/>
    <w:rsid w:val="00E5487F"/>
    <w:rsid w:val="00E54BDB"/>
    <w:rsid w:val="00E701FA"/>
    <w:rsid w:val="00E730DF"/>
    <w:rsid w:val="00E75A25"/>
    <w:rsid w:val="00E75BEC"/>
    <w:rsid w:val="00E760CD"/>
    <w:rsid w:val="00E80ACA"/>
    <w:rsid w:val="00E82A17"/>
    <w:rsid w:val="00E9708E"/>
    <w:rsid w:val="00EA3800"/>
    <w:rsid w:val="00EB2F91"/>
    <w:rsid w:val="00EB3A48"/>
    <w:rsid w:val="00EB64D0"/>
    <w:rsid w:val="00EC2213"/>
    <w:rsid w:val="00EC6404"/>
    <w:rsid w:val="00ED2829"/>
    <w:rsid w:val="00EE20AA"/>
    <w:rsid w:val="00EE7872"/>
    <w:rsid w:val="00EF0AA8"/>
    <w:rsid w:val="00EF1F89"/>
    <w:rsid w:val="00EF2B0F"/>
    <w:rsid w:val="00EF75DD"/>
    <w:rsid w:val="00F07C53"/>
    <w:rsid w:val="00F1103E"/>
    <w:rsid w:val="00F114EC"/>
    <w:rsid w:val="00F143E2"/>
    <w:rsid w:val="00F23321"/>
    <w:rsid w:val="00F24F45"/>
    <w:rsid w:val="00F265FD"/>
    <w:rsid w:val="00F3305D"/>
    <w:rsid w:val="00F33420"/>
    <w:rsid w:val="00F36E66"/>
    <w:rsid w:val="00F501A0"/>
    <w:rsid w:val="00F52D10"/>
    <w:rsid w:val="00F617CC"/>
    <w:rsid w:val="00F623F7"/>
    <w:rsid w:val="00F655F8"/>
    <w:rsid w:val="00F67366"/>
    <w:rsid w:val="00F73CA6"/>
    <w:rsid w:val="00F75EF9"/>
    <w:rsid w:val="00F80CFE"/>
    <w:rsid w:val="00F87B04"/>
    <w:rsid w:val="00FA24BC"/>
    <w:rsid w:val="00FA308E"/>
    <w:rsid w:val="00FA3362"/>
    <w:rsid w:val="00FA5F3F"/>
    <w:rsid w:val="00FA751B"/>
    <w:rsid w:val="00FB1162"/>
    <w:rsid w:val="00FB5C7D"/>
    <w:rsid w:val="00FC326C"/>
    <w:rsid w:val="00FD3684"/>
    <w:rsid w:val="00FD397B"/>
    <w:rsid w:val="00FD45D9"/>
    <w:rsid w:val="00FD74A1"/>
    <w:rsid w:val="00FE5C48"/>
    <w:rsid w:val="00FE5D6E"/>
    <w:rsid w:val="00FE7292"/>
    <w:rsid w:val="04B7152A"/>
    <w:rsid w:val="0B062635"/>
    <w:rsid w:val="26B9301B"/>
    <w:rsid w:val="386D0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22"/>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b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b w:val="0"/>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paragraph" w:customStyle="1" w:styleId="16">
    <w:name w:val="Default"/>
    <w:qFormat/>
    <w:uiPriority w:val="0"/>
    <w:pPr>
      <w:widowControl w:val="0"/>
      <w:autoSpaceDE w:val="0"/>
      <w:autoSpaceDN w:val="0"/>
      <w:adjustRightInd w:val="0"/>
    </w:pPr>
    <w:rPr>
      <w:rFonts w:ascii="Arial Unicode MS" w:eastAsia="Arial Unicode MS" w:cs="Arial Unicode MS" w:hAnsiTheme="minorHAnsi"/>
      <w:color w:val="000000"/>
      <w:sz w:val="24"/>
      <w:szCs w:val="24"/>
      <w:lang w:val="en-US" w:eastAsia="zh-CN" w:bidi="ar-SA"/>
    </w:rPr>
  </w:style>
  <w:style w:type="paragraph" w:customStyle="1" w:styleId="17">
    <w:name w:val="列出段落1"/>
    <w:basedOn w:val="1"/>
    <w:qFormat/>
    <w:uiPriority w:val="34"/>
    <w:pPr>
      <w:ind w:firstLine="420" w:firstLineChars="200"/>
    </w:pPr>
  </w:style>
  <w:style w:type="paragraph" w:customStyle="1" w:styleId="18">
    <w:name w:val="Paragrafo elenco1"/>
    <w:basedOn w:val="1"/>
    <w:qFormat/>
    <w:uiPriority w:val="0"/>
    <w:pPr>
      <w:widowControl/>
      <w:spacing w:after="200" w:line="276" w:lineRule="auto"/>
      <w:ind w:left="720"/>
      <w:jc w:val="left"/>
    </w:pPr>
    <w:rPr>
      <w:rFonts w:ascii="CG Times" w:hAnsi="CG Times"/>
      <w:b w:val="0"/>
      <w:kern w:val="0"/>
      <w:szCs w:val="22"/>
      <w:lang w:eastAsia="en-US"/>
    </w:rPr>
  </w:style>
  <w:style w:type="character" w:customStyle="1" w:styleId="19">
    <w:name w:val="标题 1 Char"/>
    <w:basedOn w:val="12"/>
    <w:link w:val="2"/>
    <w:qFormat/>
    <w:uiPriority w:val="9"/>
    <w:rPr>
      <w:rFonts w:ascii="Times New Roman" w:hAnsi="Times New Roman" w:eastAsia="宋体" w:cs="Times New Roman"/>
      <w:b/>
      <w:bCs/>
      <w:kern w:val="44"/>
      <w:sz w:val="44"/>
      <w:szCs w:val="44"/>
    </w:rPr>
  </w:style>
  <w:style w:type="character" w:customStyle="1" w:styleId="20">
    <w:name w:val="标题 2 Char"/>
    <w:basedOn w:val="12"/>
    <w:link w:val="3"/>
    <w:qFormat/>
    <w:uiPriority w:val="9"/>
    <w:rPr>
      <w:rFonts w:asciiTheme="majorHAnsi" w:hAnsiTheme="majorHAnsi" w:eastAsiaTheme="majorEastAsia" w:cstheme="majorBidi"/>
      <w:b/>
      <w:bCs/>
      <w:sz w:val="32"/>
      <w:szCs w:val="32"/>
    </w:rPr>
  </w:style>
  <w:style w:type="paragraph" w:customStyle="1" w:styleId="2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Char"/>
    <w:basedOn w:val="12"/>
    <w:link w:val="5"/>
    <w:semiHidden/>
    <w:uiPriority w:val="99"/>
    <w:rPr>
      <w:rFonts w:ascii="Times New Roman" w:hAnsi="Times New Roman" w:eastAsia="宋体" w:cs="Times New Roman"/>
      <w:b/>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F729B-5657-4248-948D-5FE64B6185EE}">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275</Words>
  <Characters>1568</Characters>
  <Lines>13</Lines>
  <Paragraphs>3</Paragraphs>
  <TotalTime>7</TotalTime>
  <ScaleCrop>false</ScaleCrop>
  <LinksUpToDate>false</LinksUpToDate>
  <CharactersWithSpaces>1840</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2017-07-11T09:32:00Z</dcterms:created>
  <dc:creator>王子华</dc:creator>
  <cp:lastModifiedBy>霍达</cp:lastModifiedBy>
  <cp:lastPrinted>2017-05-19T00:58:00Z</cp:lastPrinted>
  <dcterms:modified xsi:type="dcterms:W3CDTF">2025-08-05T05:00:23Z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7D48B92D54E34492AA597F25CD04419E_12</vt:lpwstr>
  </property>
</Properties>
</file>